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145C1"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1C3663">
        <w:t>WPSDGE</w:t>
      </w:r>
      <w:r w:rsidR="004F68D6">
        <w:t>RE</w:t>
      </w:r>
      <w:r w:rsidR="00905C7C">
        <w:t>HC1063</w:t>
      </w:r>
    </w:p>
    <w:p w14:paraId="37FDCDF6" w14:textId="77777777" w:rsidR="00E6385A" w:rsidRPr="00500C4E" w:rsidRDefault="00E6385A" w:rsidP="00F117C6">
      <w:pPr>
        <w:pStyle w:val="WPnumber"/>
      </w:pPr>
      <w:r>
        <w:tab/>
      </w:r>
      <w:r w:rsidR="000E19CA">
        <w:rPr>
          <w:rStyle w:val="CaptionChar"/>
          <w:b/>
          <w:bCs w:val="0"/>
        </w:rPr>
        <w:t xml:space="preserve">Revision </w:t>
      </w:r>
      <w:r w:rsidR="00B37CDB">
        <w:rPr>
          <w:rStyle w:val="CaptionChar"/>
          <w:b/>
          <w:bCs w:val="0"/>
        </w:rPr>
        <w:t>0</w:t>
      </w:r>
    </w:p>
    <w:bookmarkEnd w:id="0"/>
    <w:p w14:paraId="1ED32FD5" w14:textId="77777777" w:rsidR="00F117C6" w:rsidRPr="00500C4E" w:rsidRDefault="00F117C6" w:rsidP="00F117C6">
      <w:pPr>
        <w:jc w:val="right"/>
        <w:rPr>
          <w:rFonts w:cstheme="minorHAnsi"/>
          <w:b/>
          <w:sz w:val="48"/>
          <w:szCs w:val="48"/>
        </w:rPr>
      </w:pPr>
    </w:p>
    <w:p w14:paraId="26DED393"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D677609" w14:textId="77777777" w:rsidR="00E6385A" w:rsidRPr="00E6385A" w:rsidRDefault="00E6385A" w:rsidP="00E6385A">
      <w:pPr>
        <w:rPr>
          <w:rFonts w:cstheme="minorHAnsi"/>
          <w:b/>
          <w:sz w:val="32"/>
        </w:rPr>
      </w:pPr>
      <w:r w:rsidRPr="00E6385A">
        <w:rPr>
          <w:rFonts w:cstheme="minorHAnsi"/>
          <w:b/>
          <w:sz w:val="32"/>
        </w:rPr>
        <w:t>Energy Efficiency Engineering</w:t>
      </w:r>
    </w:p>
    <w:p w14:paraId="152803A0" w14:textId="77777777" w:rsidR="00F117C6" w:rsidRPr="00500C4E" w:rsidRDefault="00F117C6" w:rsidP="00F117C6">
      <w:pPr>
        <w:rPr>
          <w:rFonts w:cstheme="minorHAnsi"/>
        </w:rPr>
      </w:pPr>
    </w:p>
    <w:p w14:paraId="3B1FC81F" w14:textId="77777777" w:rsidR="00F117C6" w:rsidRPr="00500C4E" w:rsidRDefault="00F117C6" w:rsidP="00F117C6">
      <w:pPr>
        <w:tabs>
          <w:tab w:val="left" w:pos="8190"/>
        </w:tabs>
        <w:rPr>
          <w:rFonts w:cstheme="minorHAnsi"/>
        </w:rPr>
      </w:pPr>
      <w:r w:rsidRPr="00500C4E">
        <w:rPr>
          <w:rFonts w:cstheme="minorHAnsi"/>
        </w:rPr>
        <w:tab/>
      </w:r>
    </w:p>
    <w:p w14:paraId="4D4D338A" w14:textId="77777777" w:rsidR="00F117C6" w:rsidRPr="00500C4E" w:rsidRDefault="00F117C6" w:rsidP="00F117C6">
      <w:pPr>
        <w:rPr>
          <w:rFonts w:cstheme="minorHAnsi"/>
        </w:rPr>
      </w:pPr>
    </w:p>
    <w:p w14:paraId="25BF0CA7" w14:textId="77777777" w:rsidR="00F117C6" w:rsidRPr="00500C4E" w:rsidRDefault="00F117C6" w:rsidP="00F117C6">
      <w:pPr>
        <w:rPr>
          <w:rFonts w:cstheme="minorHAnsi"/>
        </w:rPr>
      </w:pPr>
    </w:p>
    <w:p w14:paraId="2D551C24" w14:textId="77777777" w:rsidR="00F117C6" w:rsidRPr="00500C4E" w:rsidRDefault="00F117C6" w:rsidP="00F117C6">
      <w:pPr>
        <w:rPr>
          <w:rFonts w:cstheme="minorHAnsi"/>
        </w:rPr>
      </w:pPr>
    </w:p>
    <w:p w14:paraId="352550C5" w14:textId="77777777" w:rsidR="00F117C6" w:rsidRPr="00500C4E" w:rsidRDefault="00F117C6" w:rsidP="00F117C6">
      <w:pPr>
        <w:rPr>
          <w:rFonts w:cstheme="minorHAnsi"/>
        </w:rPr>
      </w:pPr>
    </w:p>
    <w:p w14:paraId="7398582D" w14:textId="77777777" w:rsidR="00F117C6" w:rsidRPr="00500C4E" w:rsidRDefault="00F117C6" w:rsidP="00F117C6">
      <w:pPr>
        <w:rPr>
          <w:rFonts w:cstheme="minorHAnsi"/>
        </w:rPr>
      </w:pPr>
    </w:p>
    <w:p w14:paraId="367BA28C" w14:textId="77777777" w:rsidR="002D747B" w:rsidRDefault="002D747B" w:rsidP="002D747B">
      <w:pPr>
        <w:rPr>
          <w:rFonts w:cs="Arial"/>
          <w:b/>
          <w:sz w:val="48"/>
          <w:szCs w:val="48"/>
        </w:rPr>
      </w:pPr>
      <w:r>
        <w:rPr>
          <w:rFonts w:cs="Arial"/>
          <w:b/>
          <w:sz w:val="48"/>
          <w:szCs w:val="48"/>
        </w:rPr>
        <w:t xml:space="preserve">High Efficiency Furnaces 92 AFUE (1.08 HIR), 95 AFUE (1.05 HIR), 96 AFUE (1.04 HIR), 97 AFUE (1.03 HIR), and 98 AFUE (1.02) </w:t>
      </w:r>
    </w:p>
    <w:p w14:paraId="4017936D" w14:textId="77777777" w:rsidR="002D747B" w:rsidRPr="0043456C" w:rsidRDefault="002D747B" w:rsidP="002D747B">
      <w:pPr>
        <w:rPr>
          <w:rFonts w:cs="Arial"/>
          <w:b/>
          <w:sz w:val="48"/>
          <w:szCs w:val="48"/>
        </w:rPr>
      </w:pPr>
      <w:r>
        <w:rPr>
          <w:rFonts w:cs="Arial"/>
          <w:b/>
          <w:sz w:val="48"/>
          <w:szCs w:val="48"/>
        </w:rPr>
        <w:t>- Residential</w:t>
      </w:r>
    </w:p>
    <w:p w14:paraId="637F89C6" w14:textId="77777777" w:rsidR="000E19CA" w:rsidRDefault="000E19CA" w:rsidP="000E19CA">
      <w:pPr>
        <w:jc w:val="right"/>
        <w:rPr>
          <w:rFonts w:cstheme="minorHAnsi"/>
          <w:b/>
          <w:sz w:val="28"/>
          <w:szCs w:val="28"/>
        </w:rPr>
      </w:pPr>
    </w:p>
    <w:p w14:paraId="2ED54E37" w14:textId="77777777" w:rsidR="000E19CA" w:rsidRDefault="000E19CA" w:rsidP="000E19CA">
      <w:pPr>
        <w:jc w:val="right"/>
        <w:rPr>
          <w:rFonts w:cstheme="minorHAnsi"/>
          <w:b/>
          <w:sz w:val="28"/>
          <w:szCs w:val="28"/>
        </w:rPr>
      </w:pPr>
    </w:p>
    <w:p w14:paraId="4826734A" w14:textId="77777777" w:rsidR="000E19CA" w:rsidRDefault="000E19CA" w:rsidP="000E19CA">
      <w:pPr>
        <w:jc w:val="right"/>
        <w:rPr>
          <w:rFonts w:cstheme="minorHAnsi"/>
          <w:b/>
          <w:sz w:val="28"/>
          <w:szCs w:val="28"/>
        </w:rPr>
      </w:pPr>
    </w:p>
    <w:p w14:paraId="0621B986" w14:textId="77777777" w:rsidR="000E19CA" w:rsidRDefault="000E19CA" w:rsidP="000E19CA">
      <w:pPr>
        <w:jc w:val="right"/>
        <w:rPr>
          <w:rFonts w:cstheme="minorHAnsi"/>
          <w:b/>
          <w:sz w:val="28"/>
          <w:szCs w:val="28"/>
        </w:rPr>
      </w:pPr>
    </w:p>
    <w:p w14:paraId="56D702C6" w14:textId="77777777" w:rsidR="000E19CA" w:rsidRDefault="000E19CA" w:rsidP="000E19CA">
      <w:pPr>
        <w:jc w:val="right"/>
        <w:rPr>
          <w:rFonts w:cstheme="minorHAnsi"/>
          <w:b/>
          <w:sz w:val="28"/>
          <w:szCs w:val="28"/>
        </w:rPr>
      </w:pPr>
    </w:p>
    <w:p w14:paraId="11924F82" w14:textId="77777777" w:rsidR="000E19CA" w:rsidRDefault="000E19CA" w:rsidP="000E19CA">
      <w:pPr>
        <w:jc w:val="right"/>
        <w:rPr>
          <w:rFonts w:cstheme="minorHAnsi"/>
          <w:b/>
          <w:sz w:val="28"/>
          <w:szCs w:val="28"/>
        </w:rPr>
      </w:pPr>
    </w:p>
    <w:p w14:paraId="3500DF15" w14:textId="77777777" w:rsidR="000E19CA" w:rsidRDefault="000E19CA" w:rsidP="000E19CA">
      <w:pPr>
        <w:jc w:val="right"/>
        <w:rPr>
          <w:rFonts w:cstheme="minorHAnsi"/>
          <w:b/>
          <w:sz w:val="28"/>
          <w:szCs w:val="28"/>
        </w:rPr>
      </w:pPr>
    </w:p>
    <w:p w14:paraId="7D7AEC96" w14:textId="77777777" w:rsidR="000E19CA" w:rsidRDefault="000E19CA" w:rsidP="000E19CA">
      <w:pPr>
        <w:jc w:val="right"/>
        <w:rPr>
          <w:rFonts w:cstheme="minorHAnsi"/>
          <w:b/>
          <w:sz w:val="28"/>
          <w:szCs w:val="28"/>
        </w:rPr>
      </w:pPr>
    </w:p>
    <w:p w14:paraId="6FD32D07" w14:textId="77777777" w:rsidR="000E19CA" w:rsidRDefault="000E19CA" w:rsidP="000E19CA">
      <w:pPr>
        <w:jc w:val="right"/>
        <w:rPr>
          <w:rFonts w:cstheme="minorHAnsi"/>
          <w:b/>
          <w:sz w:val="28"/>
          <w:szCs w:val="28"/>
        </w:rPr>
      </w:pPr>
    </w:p>
    <w:p w14:paraId="13734D2C" w14:textId="77777777" w:rsidR="000E19CA" w:rsidRDefault="000E19CA" w:rsidP="000E19CA">
      <w:pPr>
        <w:jc w:val="right"/>
        <w:rPr>
          <w:rFonts w:cstheme="minorHAnsi"/>
          <w:b/>
          <w:sz w:val="28"/>
          <w:szCs w:val="28"/>
        </w:rPr>
      </w:pPr>
    </w:p>
    <w:p w14:paraId="49644C8D" w14:textId="77777777" w:rsidR="000E19CA" w:rsidRDefault="000E19CA" w:rsidP="000E19CA">
      <w:pPr>
        <w:jc w:val="right"/>
        <w:rPr>
          <w:rFonts w:cstheme="minorHAnsi"/>
          <w:b/>
          <w:sz w:val="28"/>
          <w:szCs w:val="28"/>
        </w:rPr>
      </w:pPr>
    </w:p>
    <w:p w14:paraId="27D9A693" w14:textId="77777777" w:rsidR="000E19CA" w:rsidRDefault="000E19CA" w:rsidP="000E19CA">
      <w:pPr>
        <w:jc w:val="right"/>
        <w:rPr>
          <w:rFonts w:cstheme="minorHAnsi"/>
          <w:b/>
          <w:sz w:val="28"/>
          <w:szCs w:val="28"/>
        </w:rPr>
      </w:pPr>
    </w:p>
    <w:p w14:paraId="63D817B6" w14:textId="77777777" w:rsidR="000E19CA" w:rsidRDefault="000E19CA" w:rsidP="000E19CA">
      <w:pPr>
        <w:jc w:val="right"/>
        <w:rPr>
          <w:rFonts w:cstheme="minorHAnsi"/>
          <w:b/>
          <w:sz w:val="28"/>
          <w:szCs w:val="28"/>
        </w:rPr>
      </w:pPr>
    </w:p>
    <w:p w14:paraId="741297CD" w14:textId="77777777" w:rsidR="000E19CA" w:rsidRDefault="000E19CA" w:rsidP="000E19CA">
      <w:pPr>
        <w:jc w:val="right"/>
        <w:rPr>
          <w:rFonts w:cstheme="minorHAnsi"/>
          <w:b/>
          <w:sz w:val="28"/>
          <w:szCs w:val="28"/>
        </w:rPr>
      </w:pPr>
    </w:p>
    <w:p w14:paraId="085688E4" w14:textId="77777777" w:rsidR="000E19CA" w:rsidRDefault="000E19CA" w:rsidP="000E19CA">
      <w:pPr>
        <w:jc w:val="right"/>
        <w:rPr>
          <w:rFonts w:cstheme="minorHAnsi"/>
          <w:b/>
          <w:sz w:val="28"/>
          <w:szCs w:val="28"/>
        </w:rPr>
      </w:pPr>
    </w:p>
    <w:p w14:paraId="7ACE3837" w14:textId="77777777" w:rsidR="00E372B8" w:rsidRDefault="00E372B8" w:rsidP="000E19CA">
      <w:pPr>
        <w:jc w:val="right"/>
        <w:rPr>
          <w:rFonts w:cstheme="minorHAnsi"/>
          <w:b/>
          <w:sz w:val="28"/>
          <w:szCs w:val="28"/>
        </w:rPr>
      </w:pPr>
    </w:p>
    <w:p w14:paraId="544F8852" w14:textId="36695E0F" w:rsidR="00E372B8" w:rsidRDefault="00F01745" w:rsidP="00241A1F">
      <w:pPr>
        <w:jc w:val="right"/>
        <w:rPr>
          <w:rFonts w:cstheme="minorHAnsi"/>
          <w:b/>
          <w:sz w:val="28"/>
          <w:szCs w:val="28"/>
        </w:rPr>
      </w:pPr>
      <w:r>
        <w:rPr>
          <w:rFonts w:cstheme="minorHAnsi"/>
          <w:b/>
          <w:sz w:val="28"/>
          <w:szCs w:val="28"/>
        </w:rPr>
        <w:t>December 26, 2017</w:t>
      </w:r>
    </w:p>
    <w:p w14:paraId="0A2D92D3" w14:textId="77777777" w:rsidR="00E372B8" w:rsidRPr="000F72EF" w:rsidRDefault="00E372B8" w:rsidP="00241A1F">
      <w:pPr>
        <w:jc w:val="right"/>
        <w:rPr>
          <w:rFonts w:cstheme="minorHAnsi"/>
          <w:b/>
          <w:sz w:val="72"/>
          <w:szCs w:val="72"/>
        </w:rPr>
        <w:sectPr w:rsidR="00E372B8" w:rsidRPr="000F72EF" w:rsidSect="00241A1F">
          <w:headerReference w:type="default" r:id="rId9"/>
          <w:footerReference w:type="default" r:id="rId10"/>
          <w:pgSz w:w="12240" w:h="15840"/>
          <w:pgMar w:top="1440" w:right="1440" w:bottom="1440" w:left="1440" w:header="720" w:footer="720" w:gutter="0"/>
          <w:cols w:space="720"/>
          <w:titlePg/>
          <w:docGrid w:linePitch="360"/>
        </w:sectPr>
      </w:pPr>
    </w:p>
    <w:p w14:paraId="7A3C7A55" w14:textId="6CF60941" w:rsidR="00CE4153" w:rsidRPr="00CE4153" w:rsidRDefault="00CE4153" w:rsidP="00CE4153">
      <w:pPr>
        <w:pStyle w:val="Heading2"/>
        <w:rPr>
          <w:kern w:val="32"/>
          <w:sz w:val="36"/>
          <w:szCs w:val="32"/>
        </w:rPr>
      </w:pPr>
      <w:r>
        <w:rPr>
          <w:kern w:val="32"/>
          <w:sz w:val="36"/>
          <w:szCs w:val="32"/>
        </w:rPr>
        <w:lastRenderedPageBreak/>
        <w:t xml:space="preserve">Short Form Workpaper for </w:t>
      </w:r>
      <w:r w:rsidRPr="00CE4153">
        <w:rPr>
          <w:kern w:val="32"/>
          <w:sz w:val="36"/>
          <w:szCs w:val="32"/>
        </w:rPr>
        <w:t xml:space="preserve">High Efficiency Furnaces 92 AFUE (1.08 HIR), 95 AFUE (1.05 HIR), 96 AFUE (1.04 HIR), 97 AFUE (1.03 HIR), and 98 AFUE (1.02) </w:t>
      </w:r>
      <w:r>
        <w:rPr>
          <w:kern w:val="32"/>
          <w:sz w:val="36"/>
          <w:szCs w:val="32"/>
        </w:rPr>
        <w:t>- Residential</w:t>
      </w:r>
    </w:p>
    <w:p w14:paraId="2033C0CA" w14:textId="77777777" w:rsidR="00413EF4" w:rsidRDefault="00413EF4" w:rsidP="00413EF4">
      <w:pPr>
        <w:pStyle w:val="Heading2"/>
      </w:pPr>
      <w:r>
        <w:t>Introduction</w:t>
      </w:r>
    </w:p>
    <w:p w14:paraId="7C77D135" w14:textId="4AFB2CCE" w:rsidR="00413EF4" w:rsidRDefault="00413EF4" w:rsidP="00C06B9E">
      <w:pPr>
        <w:rPr>
          <w:bCs/>
        </w:rPr>
      </w:pPr>
      <w:r>
        <w:t xml:space="preserve">This short form workpaper documents the </w:t>
      </w:r>
      <w:r w:rsidR="00C414A6">
        <w:t>ex-ante</w:t>
      </w:r>
      <w:r w:rsidR="00C06B9E">
        <w:t xml:space="preserve"> load impact and cost-effectiveness </w:t>
      </w:r>
      <w:r>
        <w:t xml:space="preserve">values </w:t>
      </w:r>
      <w:r w:rsidR="00C06B9E">
        <w:t xml:space="preserve">used </w:t>
      </w:r>
      <w:r w:rsidR="00970CC8">
        <w:t xml:space="preserve">for High Efficiency </w:t>
      </w:r>
      <w:r w:rsidR="00970CC8" w:rsidRPr="00EF6ED9">
        <w:t>Residentia</w:t>
      </w:r>
      <w:r w:rsidR="003E3C7D">
        <w:t>l Central Natural Gas Furnaces.  Impacts are found from DEER and the costs were adopted from SCG’s workpaper</w:t>
      </w:r>
      <w:r w:rsidR="003E3C7D" w:rsidRPr="003E3C7D">
        <w:rPr>
          <w:rFonts w:cstheme="minorHAnsi"/>
          <w:bCs/>
          <w:szCs w:val="20"/>
        </w:rPr>
        <w:t xml:space="preserve"> </w:t>
      </w:r>
      <w:r w:rsidR="003E3C7D">
        <w:rPr>
          <w:rFonts w:cstheme="minorHAnsi"/>
          <w:bCs/>
          <w:szCs w:val="20"/>
        </w:rPr>
        <w:t>“</w:t>
      </w:r>
      <w:r w:rsidR="003E3C7D" w:rsidRPr="003E3C7D">
        <w:rPr>
          <w:bCs/>
        </w:rPr>
        <w:t>WPSCGREHC130115A-Rev04_Res_HE Furnaces</w:t>
      </w:r>
      <w:r w:rsidR="003E3C7D">
        <w:rPr>
          <w:bCs/>
        </w:rPr>
        <w:t xml:space="preserve">” </w:t>
      </w:r>
      <w:proofErr w:type="gramStart"/>
      <w:r w:rsidR="003E3C7D">
        <w:rPr>
          <w:bCs/>
        </w:rPr>
        <w:t>with the exception of</w:t>
      </w:r>
      <w:proofErr w:type="gramEnd"/>
      <w:r w:rsidR="003E3C7D">
        <w:rPr>
          <w:bCs/>
        </w:rPr>
        <w:t>:</w:t>
      </w:r>
    </w:p>
    <w:p w14:paraId="20F2C9A8" w14:textId="1D2EFE50" w:rsidR="003E3C7D" w:rsidRDefault="003E3C7D" w:rsidP="00C06B9E">
      <w:pPr>
        <w:rPr>
          <w:bCs/>
        </w:rPr>
      </w:pPr>
    </w:p>
    <w:p w14:paraId="2EDEF318" w14:textId="155DC900" w:rsidR="003E3C7D" w:rsidRDefault="003E3C7D" w:rsidP="003E3C7D">
      <w:pPr>
        <w:pStyle w:val="ListParagraph"/>
        <w:numPr>
          <w:ilvl w:val="0"/>
          <w:numId w:val="21"/>
        </w:numPr>
      </w:pPr>
      <w:r w:rsidRPr="003E3C7D">
        <w:t>SDGE refrains from converting the unit of measure to ($/Furnace). SDGE measure cost will remain in ($/</w:t>
      </w:r>
      <w:proofErr w:type="spellStart"/>
      <w:r w:rsidRPr="003E3C7D">
        <w:t>kBtuh</w:t>
      </w:r>
      <w:proofErr w:type="spellEnd"/>
      <w:r w:rsidRPr="003E3C7D">
        <w:t xml:space="preserve">). </w:t>
      </w:r>
    </w:p>
    <w:p w14:paraId="1BA1D791" w14:textId="77777777" w:rsidR="00413EF4" w:rsidRDefault="00413EF4" w:rsidP="00413EF4"/>
    <w:p w14:paraId="2AD78C26"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75"/>
        <w:gridCol w:w="1737"/>
        <w:gridCol w:w="5814"/>
      </w:tblGrid>
      <w:tr w:rsidR="00B57F32" w:rsidRPr="00500C4E" w14:paraId="3F1B0671" w14:textId="77777777" w:rsidTr="00EC3B31">
        <w:trPr>
          <w:trHeight w:val="20"/>
        </w:trPr>
        <w:tc>
          <w:tcPr>
            <w:tcW w:w="280" w:type="pct"/>
            <w:shd w:val="clear" w:color="auto" w:fill="D9D9D9" w:themeFill="background1" w:themeFillShade="D9"/>
          </w:tcPr>
          <w:p w14:paraId="2A2869AB" w14:textId="77777777" w:rsidR="00B57F32" w:rsidRPr="000E2B6B" w:rsidRDefault="00B57F32" w:rsidP="007A4C4B">
            <w:pPr>
              <w:rPr>
                <w:rStyle w:val="Strong"/>
                <w:bCs w:val="0"/>
              </w:rPr>
            </w:pPr>
            <w:r w:rsidRPr="000E2B6B">
              <w:rPr>
                <w:rStyle w:val="Strong"/>
              </w:rPr>
              <w:t>Rev</w:t>
            </w:r>
          </w:p>
        </w:tc>
        <w:tc>
          <w:tcPr>
            <w:tcW w:w="682" w:type="pct"/>
            <w:shd w:val="clear" w:color="auto" w:fill="D9D9D9" w:themeFill="background1" w:themeFillShade="D9"/>
          </w:tcPr>
          <w:p w14:paraId="6B6A931E" w14:textId="77777777" w:rsidR="00B57F32" w:rsidRPr="000E2B6B" w:rsidRDefault="00B57F32" w:rsidP="007A4C4B">
            <w:pPr>
              <w:rPr>
                <w:rStyle w:val="Strong"/>
                <w:bCs w:val="0"/>
              </w:rPr>
            </w:pPr>
            <w:r w:rsidRPr="000E2B6B">
              <w:rPr>
                <w:rStyle w:val="Strong"/>
              </w:rPr>
              <w:t>Date</w:t>
            </w:r>
          </w:p>
        </w:tc>
        <w:tc>
          <w:tcPr>
            <w:tcW w:w="929" w:type="pct"/>
            <w:shd w:val="clear" w:color="auto" w:fill="D9D9D9" w:themeFill="background1" w:themeFillShade="D9"/>
          </w:tcPr>
          <w:p w14:paraId="729AE978" w14:textId="77777777" w:rsidR="00B57F32" w:rsidRPr="000E2B6B" w:rsidRDefault="00B57F32" w:rsidP="007A4C4B">
            <w:pPr>
              <w:rPr>
                <w:rStyle w:val="Strong"/>
                <w:bCs w:val="0"/>
              </w:rPr>
            </w:pPr>
            <w:r w:rsidRPr="000E2B6B">
              <w:rPr>
                <w:rStyle w:val="Strong"/>
              </w:rPr>
              <w:t>Author</w:t>
            </w:r>
          </w:p>
        </w:tc>
        <w:tc>
          <w:tcPr>
            <w:tcW w:w="3109" w:type="pct"/>
            <w:shd w:val="clear" w:color="auto" w:fill="D9D9D9" w:themeFill="background1" w:themeFillShade="D9"/>
          </w:tcPr>
          <w:p w14:paraId="3BFB9F4C" w14:textId="77777777" w:rsidR="00B57F32" w:rsidRPr="000E2B6B" w:rsidRDefault="00B57F32" w:rsidP="007A4C4B">
            <w:pPr>
              <w:rPr>
                <w:rStyle w:val="Strong"/>
                <w:bCs w:val="0"/>
              </w:rPr>
            </w:pPr>
            <w:r w:rsidRPr="000E2B6B">
              <w:rPr>
                <w:rStyle w:val="Strong"/>
              </w:rPr>
              <w:t>Summary of Changes</w:t>
            </w:r>
          </w:p>
        </w:tc>
      </w:tr>
      <w:tr w:rsidR="00EC3B31" w:rsidRPr="00500C4E" w14:paraId="1C116FB5" w14:textId="77777777" w:rsidTr="00EC3B31">
        <w:trPr>
          <w:trHeight w:val="20"/>
        </w:trPr>
        <w:tc>
          <w:tcPr>
            <w:tcW w:w="280" w:type="pct"/>
          </w:tcPr>
          <w:p w14:paraId="0AD3031B" w14:textId="77777777" w:rsidR="00EC3B31" w:rsidRPr="00F2079F" w:rsidRDefault="00667E6F" w:rsidP="00EC3B31">
            <w:pPr>
              <w:jc w:val="center"/>
            </w:pPr>
            <w:r>
              <w:t>0</w:t>
            </w:r>
          </w:p>
        </w:tc>
        <w:tc>
          <w:tcPr>
            <w:tcW w:w="682" w:type="pct"/>
          </w:tcPr>
          <w:p w14:paraId="5C2AE56B" w14:textId="3623CF3D" w:rsidR="00EC3B31" w:rsidRDefault="00BF5CB9" w:rsidP="00EC3B31">
            <w:pPr>
              <w:jc w:val="center"/>
              <w:rPr>
                <w:rFonts w:cstheme="minorHAnsi"/>
                <w:szCs w:val="20"/>
              </w:rPr>
            </w:pPr>
            <w:r>
              <w:rPr>
                <w:rFonts w:cstheme="minorHAnsi"/>
                <w:szCs w:val="20"/>
              </w:rPr>
              <w:t>12/</w:t>
            </w:r>
            <w:r w:rsidR="000D3914">
              <w:rPr>
                <w:rFonts w:cstheme="minorHAnsi"/>
                <w:szCs w:val="20"/>
              </w:rPr>
              <w:t>2</w:t>
            </w:r>
            <w:r>
              <w:rPr>
                <w:rFonts w:cstheme="minorHAnsi"/>
                <w:szCs w:val="20"/>
              </w:rPr>
              <w:t>7</w:t>
            </w:r>
            <w:r w:rsidR="00EC3B31">
              <w:rPr>
                <w:rFonts w:cstheme="minorHAnsi"/>
                <w:szCs w:val="20"/>
              </w:rPr>
              <w:t>/2017</w:t>
            </w:r>
          </w:p>
        </w:tc>
        <w:tc>
          <w:tcPr>
            <w:tcW w:w="929" w:type="pct"/>
          </w:tcPr>
          <w:p w14:paraId="74B02611" w14:textId="77777777" w:rsidR="00EC3B31" w:rsidRDefault="00EC3B31" w:rsidP="00EC3B31">
            <w:pPr>
              <w:rPr>
                <w:rFonts w:cstheme="minorHAnsi"/>
                <w:szCs w:val="20"/>
              </w:rPr>
            </w:pPr>
            <w:r>
              <w:rPr>
                <w:rFonts w:cstheme="minorHAnsi"/>
                <w:szCs w:val="20"/>
              </w:rPr>
              <w:t>Joshua Williams/ SDG&amp;E</w:t>
            </w:r>
          </w:p>
        </w:tc>
        <w:tc>
          <w:tcPr>
            <w:tcW w:w="3109" w:type="pct"/>
          </w:tcPr>
          <w:p w14:paraId="78DA4751" w14:textId="77777777" w:rsidR="00077F57" w:rsidRPr="00077F57" w:rsidRDefault="00EC3B31" w:rsidP="007A4C4B">
            <w:pPr>
              <w:pStyle w:val="ListParagraph"/>
              <w:numPr>
                <w:ilvl w:val="0"/>
                <w:numId w:val="16"/>
              </w:numPr>
              <w:rPr>
                <w:rFonts w:cstheme="minorHAnsi"/>
                <w:szCs w:val="20"/>
              </w:rPr>
            </w:pPr>
            <w:r w:rsidRPr="00EC6CB8">
              <w:rPr>
                <w:rFonts w:cstheme="minorHAnsi"/>
                <w:bCs/>
                <w:szCs w:val="20"/>
              </w:rPr>
              <w:t xml:space="preserve">Adopted </w:t>
            </w:r>
            <w:r w:rsidR="007A4C4B">
              <w:rPr>
                <w:rFonts w:cstheme="minorHAnsi"/>
                <w:bCs/>
                <w:szCs w:val="20"/>
              </w:rPr>
              <w:t>SoCal Gas</w:t>
            </w:r>
            <w:r>
              <w:rPr>
                <w:rFonts w:cstheme="minorHAnsi"/>
                <w:bCs/>
                <w:szCs w:val="20"/>
              </w:rPr>
              <w:t xml:space="preserve"> workpaper “</w:t>
            </w:r>
            <w:r w:rsidR="007A4C4B" w:rsidRPr="007A4C4B">
              <w:rPr>
                <w:rFonts w:cstheme="minorHAnsi"/>
                <w:bCs/>
                <w:szCs w:val="20"/>
              </w:rPr>
              <w:t>WPSCGREHC130115A-Rev04_Res_HE Furnaces</w:t>
            </w:r>
            <w:r w:rsidRPr="00EC6CB8">
              <w:rPr>
                <w:rFonts w:cstheme="minorHAnsi"/>
                <w:bCs/>
                <w:szCs w:val="20"/>
              </w:rPr>
              <w:t>” with all its assumptions and values.</w:t>
            </w:r>
          </w:p>
          <w:p w14:paraId="24B13F1B" w14:textId="173EFA0E" w:rsidR="00EC3B31" w:rsidRPr="00D319A5" w:rsidRDefault="00077F57" w:rsidP="007A4C4B">
            <w:pPr>
              <w:pStyle w:val="ListParagraph"/>
              <w:numPr>
                <w:ilvl w:val="0"/>
                <w:numId w:val="16"/>
              </w:numPr>
              <w:rPr>
                <w:rFonts w:cstheme="minorHAnsi"/>
                <w:szCs w:val="20"/>
              </w:rPr>
            </w:pPr>
            <w:r>
              <w:rPr>
                <w:rFonts w:cstheme="minorHAnsi"/>
                <w:bCs/>
                <w:szCs w:val="20"/>
              </w:rPr>
              <w:t xml:space="preserve">The only exception </w:t>
            </w:r>
            <w:bookmarkStart w:id="1" w:name="_Hlk502656671"/>
            <w:r w:rsidR="00943CBE">
              <w:rPr>
                <w:rFonts w:cstheme="minorHAnsi"/>
                <w:bCs/>
                <w:szCs w:val="20"/>
              </w:rPr>
              <w:t xml:space="preserve">is SDGE refrains from converting the unit of measure to </w:t>
            </w:r>
            <w:r w:rsidR="000D3914">
              <w:rPr>
                <w:rFonts w:cstheme="minorHAnsi"/>
                <w:bCs/>
                <w:szCs w:val="20"/>
              </w:rPr>
              <w:t>(</w:t>
            </w:r>
            <w:r w:rsidR="00943CBE">
              <w:rPr>
                <w:rFonts w:cstheme="minorHAnsi"/>
                <w:bCs/>
                <w:szCs w:val="20"/>
              </w:rPr>
              <w:t>$/Furnace</w:t>
            </w:r>
            <w:r w:rsidR="000D3914">
              <w:rPr>
                <w:rFonts w:cstheme="minorHAnsi"/>
                <w:bCs/>
                <w:szCs w:val="20"/>
              </w:rPr>
              <w:t>). SDGE measure cost will remain in ($/</w:t>
            </w:r>
            <w:proofErr w:type="spellStart"/>
            <w:r w:rsidR="000D3914">
              <w:rPr>
                <w:rFonts w:cstheme="minorHAnsi"/>
                <w:bCs/>
                <w:szCs w:val="20"/>
              </w:rPr>
              <w:t>kBtuh</w:t>
            </w:r>
            <w:proofErr w:type="spellEnd"/>
            <w:r w:rsidR="000D3914">
              <w:rPr>
                <w:rFonts w:cstheme="minorHAnsi"/>
                <w:bCs/>
                <w:szCs w:val="20"/>
              </w:rPr>
              <w:t>).</w:t>
            </w:r>
            <w:r w:rsidR="00EC3B31" w:rsidRPr="00EC6CB8">
              <w:rPr>
                <w:rFonts w:cstheme="minorHAnsi"/>
                <w:bCs/>
                <w:szCs w:val="20"/>
              </w:rPr>
              <w:t xml:space="preserve"> </w:t>
            </w:r>
          </w:p>
          <w:bookmarkEnd w:id="1"/>
          <w:p w14:paraId="3ECEBC0F" w14:textId="63A915E7" w:rsidR="00D319A5" w:rsidRPr="002217AC" w:rsidRDefault="007D3D34" w:rsidP="00EC3B31">
            <w:pPr>
              <w:pStyle w:val="ListParagraph"/>
              <w:numPr>
                <w:ilvl w:val="0"/>
                <w:numId w:val="16"/>
              </w:numPr>
              <w:rPr>
                <w:rFonts w:cstheme="minorHAnsi"/>
                <w:szCs w:val="20"/>
              </w:rPr>
            </w:pPr>
            <w:r>
              <w:t>The 2017</w:t>
            </w:r>
            <w:r w:rsidRPr="0077159C">
              <w:t xml:space="preserve"> Database for Ener</w:t>
            </w:r>
            <w:r>
              <w:t>gy Efficient Resources (DEER2017</w:t>
            </w:r>
            <w:r w:rsidRPr="0077159C">
              <w:t>)</w:t>
            </w:r>
            <w:r>
              <w:t xml:space="preserve"> v2.4.7 [3] data include: gas energy savings, equipment useful life, and net-to-gross for</w:t>
            </w:r>
            <w:r w:rsidRPr="0077159C">
              <w:t xml:space="preserve"> this measure</w:t>
            </w:r>
            <w:r>
              <w:t>.</w:t>
            </w:r>
          </w:p>
        </w:tc>
      </w:tr>
    </w:tbl>
    <w:p w14:paraId="63F72794" w14:textId="77777777" w:rsidR="00DB71F1" w:rsidRDefault="00DB71F1" w:rsidP="00413EF4"/>
    <w:p w14:paraId="1BB634C8" w14:textId="77777777" w:rsidR="00203631" w:rsidRDefault="00203631" w:rsidP="00793592">
      <w:pPr>
        <w:spacing w:after="200" w:line="276" w:lineRule="auto"/>
      </w:pPr>
    </w:p>
    <w:p w14:paraId="3813923B" w14:textId="77777777" w:rsidR="00203631" w:rsidRDefault="00203631" w:rsidP="007A2EB3"/>
    <w:p w14:paraId="61DDB667" w14:textId="77777777" w:rsidR="00203631" w:rsidRDefault="00203631" w:rsidP="007A2EB3"/>
    <w:p w14:paraId="11AB6683" w14:textId="77777777" w:rsidR="00203631" w:rsidRDefault="00203631" w:rsidP="007A2EB3"/>
    <w:p w14:paraId="778861F0" w14:textId="77777777" w:rsidR="00203631" w:rsidRDefault="00203631" w:rsidP="007A2EB3"/>
    <w:p w14:paraId="462236CA" w14:textId="77777777" w:rsidR="00203631" w:rsidRDefault="00203631" w:rsidP="007A2EB3"/>
    <w:p w14:paraId="299CADF0" w14:textId="77777777" w:rsidR="007A2EB3" w:rsidRDefault="007A2EB3" w:rsidP="007A2EB3"/>
    <w:p w14:paraId="7AC99FC2" w14:textId="77777777" w:rsidR="007A2EB3" w:rsidRPr="007A2EB3" w:rsidRDefault="007A2EB3" w:rsidP="007A2EB3"/>
    <w:tbl>
      <w:tblPr>
        <w:tblStyle w:val="TableGrid"/>
        <w:tblW w:w="10165" w:type="dxa"/>
        <w:tblLook w:val="04A0" w:firstRow="1" w:lastRow="0" w:firstColumn="1" w:lastColumn="0" w:noHBand="0" w:noVBand="1"/>
      </w:tblPr>
      <w:tblGrid>
        <w:gridCol w:w="1449"/>
        <w:gridCol w:w="8716"/>
      </w:tblGrid>
      <w:tr w:rsidR="002D747B" w14:paraId="7CE3F9D3" w14:textId="77777777" w:rsidTr="009A6CB4">
        <w:trPr>
          <w:cantSplit/>
          <w:tblHeader/>
        </w:trPr>
        <w:tc>
          <w:tcPr>
            <w:tcW w:w="1449" w:type="dxa"/>
          </w:tcPr>
          <w:p w14:paraId="2402D1EF" w14:textId="77777777" w:rsidR="00DB71F1" w:rsidRPr="00D86243" w:rsidRDefault="00DB71F1" w:rsidP="007A4C4B">
            <w:pPr>
              <w:jc w:val="center"/>
              <w:rPr>
                <w:b/>
              </w:rPr>
            </w:pPr>
            <w:r w:rsidRPr="00D86243">
              <w:rPr>
                <w:b/>
              </w:rPr>
              <w:lastRenderedPageBreak/>
              <w:t>Section</w:t>
            </w:r>
          </w:p>
        </w:tc>
        <w:tc>
          <w:tcPr>
            <w:tcW w:w="8716" w:type="dxa"/>
          </w:tcPr>
          <w:p w14:paraId="1B3C8C6D" w14:textId="77777777" w:rsidR="00DB71F1" w:rsidRPr="00D86243" w:rsidRDefault="00DB71F1" w:rsidP="007A4C4B">
            <w:pPr>
              <w:jc w:val="center"/>
              <w:rPr>
                <w:b/>
              </w:rPr>
            </w:pPr>
            <w:r w:rsidRPr="00D86243">
              <w:rPr>
                <w:b/>
              </w:rPr>
              <w:t>Value</w:t>
            </w:r>
          </w:p>
        </w:tc>
      </w:tr>
      <w:tr w:rsidR="002D747B" w14:paraId="10696E20" w14:textId="77777777" w:rsidTr="00793592">
        <w:trPr>
          <w:cantSplit/>
          <w:trHeight w:val="6542"/>
        </w:trPr>
        <w:tc>
          <w:tcPr>
            <w:tcW w:w="1449" w:type="dxa"/>
            <w:vAlign w:val="center"/>
          </w:tcPr>
          <w:p w14:paraId="50F417C0" w14:textId="77777777" w:rsidR="00DB71F1" w:rsidRPr="001D77F7" w:rsidRDefault="00DB71F1" w:rsidP="007A4C4B">
            <w:pPr>
              <w:rPr>
                <w:b/>
              </w:rPr>
            </w:pPr>
            <w:r>
              <w:rPr>
                <w:b/>
              </w:rPr>
              <w:t>Summary &amp; Purpose</w:t>
            </w:r>
          </w:p>
        </w:tc>
        <w:tc>
          <w:tcPr>
            <w:tcW w:w="8716" w:type="dxa"/>
          </w:tcPr>
          <w:p w14:paraId="15D63503" w14:textId="5A54E4CE" w:rsidR="00DB71F1" w:rsidRPr="003E3C7D" w:rsidRDefault="003F6170" w:rsidP="0023444F">
            <w:pPr>
              <w:rPr>
                <w:sz w:val="20"/>
                <w:szCs w:val="20"/>
              </w:rPr>
            </w:pPr>
            <w:r w:rsidRPr="008109D1">
              <w:rPr>
                <w:sz w:val="20"/>
                <w:szCs w:val="20"/>
              </w:rPr>
              <w:t>This short form workpaper documents the ex-ante load impact and cost-effectiveness values used for High Efficiency Residenti</w:t>
            </w:r>
            <w:r w:rsidR="003E3C7D">
              <w:rPr>
                <w:sz w:val="20"/>
                <w:szCs w:val="20"/>
              </w:rPr>
              <w:t xml:space="preserve">al Central Natural Gas Furnaces.  </w:t>
            </w:r>
            <w:r w:rsidR="003E3C7D" w:rsidRPr="003E3C7D">
              <w:rPr>
                <w:sz w:val="20"/>
                <w:szCs w:val="20"/>
              </w:rPr>
              <w:t>Impacts are found from DEER and the costs were adopted from SCG’s workpaper</w:t>
            </w:r>
            <w:r w:rsidR="003E3C7D" w:rsidRPr="003E3C7D">
              <w:rPr>
                <w:bCs/>
                <w:sz w:val="20"/>
                <w:szCs w:val="20"/>
              </w:rPr>
              <w:t xml:space="preserve"> “WPSCGREHC130115A-Rev04_Res_HE Furnaces”.</w:t>
            </w:r>
            <w:r w:rsidR="0023444F" w:rsidRPr="004C35E4">
              <w:rPr>
                <w:rFonts w:cs="Arial"/>
                <w:sz w:val="20"/>
                <w:szCs w:val="20"/>
              </w:rPr>
              <w:t xml:space="preserve"> </w:t>
            </w:r>
          </w:p>
          <w:p w14:paraId="55BC6B50" w14:textId="77777777" w:rsidR="00C31097" w:rsidRDefault="00C31097" w:rsidP="0023444F">
            <w:pPr>
              <w:rPr>
                <w:rFonts w:cs="Arial"/>
                <w:sz w:val="20"/>
                <w:szCs w:val="20"/>
              </w:rPr>
            </w:pPr>
          </w:p>
          <w:p w14:paraId="386DB0E2" w14:textId="5187B5C5" w:rsidR="00C31097" w:rsidRDefault="00C31097" w:rsidP="0023444F">
            <w:pPr>
              <w:rPr>
                <w:rFonts w:cs="Arial"/>
                <w:sz w:val="20"/>
                <w:szCs w:val="20"/>
              </w:rPr>
            </w:pPr>
            <w:r>
              <w:rPr>
                <w:rFonts w:cs="Arial"/>
                <w:sz w:val="20"/>
                <w:szCs w:val="20"/>
              </w:rPr>
              <w:t xml:space="preserve">Residential </w:t>
            </w:r>
            <w:r w:rsidR="00D756BA">
              <w:rPr>
                <w:rFonts w:cs="Arial"/>
                <w:sz w:val="20"/>
                <w:szCs w:val="20"/>
              </w:rPr>
              <w:t xml:space="preserve">Furnace – Energy Star Central Gas (AFUE = 81% &amp; 90% - 98%) </w:t>
            </w:r>
            <w:r>
              <w:rPr>
                <w:rFonts w:cs="Arial"/>
                <w:sz w:val="20"/>
                <w:szCs w:val="20"/>
              </w:rPr>
              <w:t>Legacy Implementation updates effective 1/1/2017.</w:t>
            </w:r>
          </w:p>
          <w:p w14:paraId="63279941" w14:textId="77777777" w:rsidR="005B70D8" w:rsidRDefault="005B70D8" w:rsidP="0023444F">
            <w:pPr>
              <w:rPr>
                <w:rFonts w:cs="Arial"/>
                <w:sz w:val="20"/>
                <w:szCs w:val="20"/>
              </w:rPr>
            </w:pPr>
          </w:p>
          <w:tbl>
            <w:tblPr>
              <w:tblW w:w="0" w:type="auto"/>
              <w:tblLook w:val="04A0" w:firstRow="1" w:lastRow="0" w:firstColumn="1" w:lastColumn="0" w:noHBand="0" w:noVBand="1"/>
            </w:tblPr>
            <w:tblGrid>
              <w:gridCol w:w="1321"/>
              <w:gridCol w:w="1624"/>
              <w:gridCol w:w="1350"/>
              <w:gridCol w:w="1350"/>
              <w:gridCol w:w="1800"/>
            </w:tblGrid>
            <w:tr w:rsidR="00C31097" w:rsidRPr="00C31097" w14:paraId="0ADA4388" w14:textId="77777777" w:rsidTr="009A6CB4">
              <w:trPr>
                <w:trHeight w:val="315"/>
              </w:trPr>
              <w:tc>
                <w:tcPr>
                  <w:tcW w:w="744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12F3393" w14:textId="77777777" w:rsidR="00C31097" w:rsidRPr="008109D1" w:rsidRDefault="00C31097" w:rsidP="00C31097">
                  <w:pPr>
                    <w:jc w:val="center"/>
                    <w:rPr>
                      <w:rFonts w:cs="Calibri"/>
                      <w:color w:val="000000"/>
                      <w:sz w:val="20"/>
                      <w:szCs w:val="20"/>
                    </w:rPr>
                  </w:pPr>
                  <w:r w:rsidRPr="008109D1">
                    <w:rPr>
                      <w:rFonts w:cs="Arial"/>
                      <w:color w:val="000000"/>
                      <w:sz w:val="20"/>
                      <w:szCs w:val="20"/>
                    </w:rPr>
                    <w:t>Measure Characteristic</w:t>
                  </w:r>
                </w:p>
              </w:tc>
            </w:tr>
            <w:tr w:rsidR="00C31097" w:rsidRPr="00C31097" w14:paraId="68BB660F" w14:textId="77777777" w:rsidTr="009A6CB4">
              <w:trPr>
                <w:trHeight w:val="420"/>
              </w:trPr>
              <w:tc>
                <w:tcPr>
                  <w:tcW w:w="1321" w:type="dxa"/>
                  <w:tcBorders>
                    <w:top w:val="nil"/>
                    <w:left w:val="single" w:sz="8" w:space="0" w:color="auto"/>
                    <w:bottom w:val="single" w:sz="8" w:space="0" w:color="auto"/>
                    <w:right w:val="single" w:sz="4" w:space="0" w:color="auto"/>
                  </w:tcBorders>
                  <w:shd w:val="clear" w:color="auto" w:fill="auto"/>
                  <w:vAlign w:val="center"/>
                  <w:hideMark/>
                </w:tcPr>
                <w:p w14:paraId="725D6390" w14:textId="77777777" w:rsidR="00C31097" w:rsidRPr="008109D1" w:rsidRDefault="00C31097" w:rsidP="00C31097">
                  <w:pPr>
                    <w:jc w:val="center"/>
                    <w:rPr>
                      <w:rFonts w:cs="Calibri"/>
                      <w:color w:val="000000"/>
                      <w:sz w:val="20"/>
                      <w:szCs w:val="20"/>
                    </w:rPr>
                  </w:pPr>
                  <w:r w:rsidRPr="008109D1">
                    <w:rPr>
                      <w:rFonts w:cs="Arial"/>
                      <w:color w:val="000000"/>
                      <w:sz w:val="20"/>
                      <w:szCs w:val="20"/>
                    </w:rPr>
                    <w:t>Implement ID</w:t>
                  </w:r>
                </w:p>
              </w:tc>
              <w:tc>
                <w:tcPr>
                  <w:tcW w:w="1624" w:type="dxa"/>
                  <w:tcBorders>
                    <w:top w:val="nil"/>
                    <w:left w:val="nil"/>
                    <w:bottom w:val="single" w:sz="8" w:space="0" w:color="auto"/>
                    <w:right w:val="single" w:sz="4" w:space="0" w:color="auto"/>
                  </w:tcBorders>
                  <w:shd w:val="clear" w:color="auto" w:fill="auto"/>
                  <w:vAlign w:val="center"/>
                  <w:hideMark/>
                </w:tcPr>
                <w:p w14:paraId="03C188A2" w14:textId="77777777" w:rsidR="00C31097" w:rsidRPr="008109D1" w:rsidRDefault="00C31097" w:rsidP="00C31097">
                  <w:pPr>
                    <w:jc w:val="center"/>
                    <w:rPr>
                      <w:rFonts w:cs="Calibri"/>
                      <w:color w:val="000000"/>
                      <w:sz w:val="20"/>
                      <w:szCs w:val="20"/>
                    </w:rPr>
                  </w:pPr>
                  <w:r w:rsidRPr="008109D1">
                    <w:rPr>
                      <w:rFonts w:cs="Arial"/>
                      <w:color w:val="000000"/>
                      <w:sz w:val="20"/>
                      <w:szCs w:val="20"/>
                    </w:rPr>
                    <w:t>Deer Measure ID</w:t>
                  </w:r>
                </w:p>
              </w:tc>
              <w:tc>
                <w:tcPr>
                  <w:tcW w:w="1350" w:type="dxa"/>
                  <w:tcBorders>
                    <w:top w:val="nil"/>
                    <w:left w:val="nil"/>
                    <w:bottom w:val="single" w:sz="8" w:space="0" w:color="auto"/>
                    <w:right w:val="single" w:sz="4" w:space="0" w:color="auto"/>
                  </w:tcBorders>
                  <w:shd w:val="clear" w:color="auto" w:fill="auto"/>
                  <w:vAlign w:val="center"/>
                  <w:hideMark/>
                </w:tcPr>
                <w:p w14:paraId="32A36DB8" w14:textId="77777777" w:rsidR="00C31097" w:rsidRPr="008109D1" w:rsidRDefault="00C31097" w:rsidP="00C31097">
                  <w:pPr>
                    <w:jc w:val="center"/>
                    <w:rPr>
                      <w:rFonts w:cs="Calibri"/>
                      <w:color w:val="000000"/>
                      <w:sz w:val="20"/>
                      <w:szCs w:val="20"/>
                    </w:rPr>
                  </w:pPr>
                  <w:r w:rsidRPr="008109D1">
                    <w:rPr>
                      <w:rFonts w:cs="Calibri"/>
                      <w:color w:val="000000"/>
                      <w:sz w:val="20"/>
                      <w:szCs w:val="20"/>
                    </w:rPr>
                    <w:t>Building Type</w:t>
                  </w:r>
                </w:p>
              </w:tc>
              <w:tc>
                <w:tcPr>
                  <w:tcW w:w="1350" w:type="dxa"/>
                  <w:tcBorders>
                    <w:top w:val="nil"/>
                    <w:left w:val="nil"/>
                    <w:bottom w:val="single" w:sz="8" w:space="0" w:color="auto"/>
                    <w:right w:val="single" w:sz="4" w:space="0" w:color="auto"/>
                  </w:tcBorders>
                  <w:shd w:val="clear" w:color="auto" w:fill="auto"/>
                  <w:vAlign w:val="center"/>
                  <w:hideMark/>
                </w:tcPr>
                <w:p w14:paraId="42B4EE88" w14:textId="77777777" w:rsidR="00C31097" w:rsidRPr="008109D1" w:rsidRDefault="00C31097" w:rsidP="00C31097">
                  <w:pPr>
                    <w:jc w:val="center"/>
                    <w:rPr>
                      <w:rFonts w:cs="Calibri"/>
                      <w:color w:val="000000"/>
                      <w:sz w:val="20"/>
                      <w:szCs w:val="20"/>
                    </w:rPr>
                  </w:pPr>
                  <w:r w:rsidRPr="008109D1">
                    <w:rPr>
                      <w:rFonts w:cs="Arial"/>
                      <w:color w:val="000000"/>
                      <w:sz w:val="20"/>
                      <w:szCs w:val="20"/>
                    </w:rPr>
                    <w:t>Delivery Type</w:t>
                  </w:r>
                </w:p>
              </w:tc>
              <w:tc>
                <w:tcPr>
                  <w:tcW w:w="1800" w:type="dxa"/>
                  <w:tcBorders>
                    <w:top w:val="nil"/>
                    <w:left w:val="nil"/>
                    <w:bottom w:val="single" w:sz="8" w:space="0" w:color="auto"/>
                    <w:right w:val="single" w:sz="8" w:space="0" w:color="auto"/>
                  </w:tcBorders>
                  <w:shd w:val="clear" w:color="auto" w:fill="auto"/>
                  <w:vAlign w:val="center"/>
                  <w:hideMark/>
                </w:tcPr>
                <w:p w14:paraId="322FA435" w14:textId="77777777" w:rsidR="00C31097" w:rsidRPr="008109D1" w:rsidRDefault="00C31097" w:rsidP="00C31097">
                  <w:pPr>
                    <w:jc w:val="center"/>
                    <w:rPr>
                      <w:rFonts w:cs="Calibri"/>
                      <w:color w:val="000000"/>
                      <w:sz w:val="20"/>
                      <w:szCs w:val="20"/>
                    </w:rPr>
                  </w:pPr>
                  <w:r w:rsidRPr="008109D1">
                    <w:rPr>
                      <w:rFonts w:cs="Calibri"/>
                      <w:color w:val="000000"/>
                      <w:sz w:val="20"/>
                      <w:szCs w:val="20"/>
                    </w:rPr>
                    <w:t>Version-Source</w:t>
                  </w:r>
                </w:p>
              </w:tc>
            </w:tr>
            <w:tr w:rsidR="00CE4153" w:rsidRPr="00C31097" w14:paraId="68030019" w14:textId="77777777" w:rsidTr="00F85A7C">
              <w:trPr>
                <w:trHeight w:val="223"/>
              </w:trPr>
              <w:tc>
                <w:tcPr>
                  <w:tcW w:w="1321" w:type="dxa"/>
                  <w:vMerge w:val="restart"/>
                  <w:tcBorders>
                    <w:top w:val="nil"/>
                    <w:left w:val="single" w:sz="8" w:space="0" w:color="auto"/>
                    <w:right w:val="single" w:sz="4" w:space="0" w:color="auto"/>
                  </w:tcBorders>
                  <w:shd w:val="clear" w:color="auto" w:fill="auto"/>
                  <w:vAlign w:val="center"/>
                  <w:hideMark/>
                </w:tcPr>
                <w:p w14:paraId="7847415C" w14:textId="77777777" w:rsidR="00CE4153" w:rsidRPr="008109D1" w:rsidRDefault="00CE4153" w:rsidP="00C31097">
                  <w:pPr>
                    <w:jc w:val="center"/>
                    <w:rPr>
                      <w:rFonts w:cs="Calibri"/>
                      <w:color w:val="000000"/>
                      <w:sz w:val="20"/>
                      <w:szCs w:val="20"/>
                    </w:rPr>
                  </w:pPr>
                  <w:r w:rsidRPr="008109D1">
                    <w:rPr>
                      <w:rFonts w:cs="Calibri"/>
                      <w:color w:val="000000"/>
                      <w:sz w:val="20"/>
                      <w:szCs w:val="20"/>
                    </w:rPr>
                    <w:t>462510</w:t>
                  </w:r>
                </w:p>
              </w:tc>
              <w:tc>
                <w:tcPr>
                  <w:tcW w:w="1624" w:type="dxa"/>
                  <w:vMerge w:val="restart"/>
                  <w:tcBorders>
                    <w:top w:val="nil"/>
                    <w:left w:val="single" w:sz="4" w:space="0" w:color="auto"/>
                    <w:bottom w:val="single" w:sz="8" w:space="0" w:color="000000"/>
                    <w:right w:val="single" w:sz="4" w:space="0" w:color="auto"/>
                  </w:tcBorders>
                  <w:shd w:val="clear" w:color="auto" w:fill="auto"/>
                  <w:vAlign w:val="center"/>
                  <w:hideMark/>
                </w:tcPr>
                <w:p w14:paraId="60A3668C" w14:textId="77777777" w:rsidR="00CE4153" w:rsidRPr="008109D1" w:rsidRDefault="00CE4153" w:rsidP="00C31097">
                  <w:pPr>
                    <w:jc w:val="center"/>
                    <w:rPr>
                      <w:rFonts w:cs="Calibri"/>
                      <w:color w:val="000000"/>
                      <w:sz w:val="20"/>
                      <w:szCs w:val="20"/>
                    </w:rPr>
                  </w:pPr>
                  <w:r w:rsidRPr="008109D1">
                    <w:rPr>
                      <w:rFonts w:cs="Calibri"/>
                      <w:color w:val="000000"/>
                      <w:sz w:val="20"/>
                      <w:szCs w:val="20"/>
                    </w:rPr>
                    <w:t>Res-GasFurnace-AFUE92</w:t>
                  </w:r>
                </w:p>
              </w:tc>
              <w:tc>
                <w:tcPr>
                  <w:tcW w:w="1350" w:type="dxa"/>
                  <w:vMerge w:val="restart"/>
                  <w:tcBorders>
                    <w:top w:val="nil"/>
                    <w:left w:val="nil"/>
                    <w:right w:val="single" w:sz="4" w:space="0" w:color="auto"/>
                  </w:tcBorders>
                  <w:shd w:val="clear" w:color="auto" w:fill="auto"/>
                  <w:vAlign w:val="center"/>
                  <w:hideMark/>
                </w:tcPr>
                <w:p w14:paraId="77A1FA13" w14:textId="039B7BC1" w:rsidR="00CE4153" w:rsidRPr="008109D1" w:rsidRDefault="00CE4153" w:rsidP="00C31097">
                  <w:pPr>
                    <w:jc w:val="center"/>
                    <w:rPr>
                      <w:rFonts w:cs="Calibri"/>
                      <w:color w:val="000000"/>
                      <w:sz w:val="20"/>
                      <w:szCs w:val="20"/>
                    </w:rPr>
                  </w:pPr>
                  <w:r>
                    <w:rPr>
                      <w:rFonts w:cs="Calibri"/>
                      <w:color w:val="000000"/>
                      <w:sz w:val="20"/>
                      <w:szCs w:val="20"/>
                    </w:rPr>
                    <w:t>Res</w:t>
                  </w:r>
                </w:p>
              </w:tc>
              <w:tc>
                <w:tcPr>
                  <w:tcW w:w="1350" w:type="dxa"/>
                  <w:vMerge w:val="restart"/>
                  <w:tcBorders>
                    <w:top w:val="nil"/>
                    <w:left w:val="nil"/>
                    <w:right w:val="single" w:sz="4" w:space="0" w:color="auto"/>
                  </w:tcBorders>
                  <w:shd w:val="clear" w:color="auto" w:fill="auto"/>
                  <w:vAlign w:val="center"/>
                  <w:hideMark/>
                </w:tcPr>
                <w:p w14:paraId="1C03965A" w14:textId="5079D48A" w:rsidR="00CE4153" w:rsidRPr="008109D1" w:rsidRDefault="00CE4153" w:rsidP="00C31097">
                  <w:pPr>
                    <w:jc w:val="center"/>
                    <w:rPr>
                      <w:rFonts w:cs="Calibri"/>
                      <w:color w:val="000000"/>
                      <w:sz w:val="20"/>
                      <w:szCs w:val="20"/>
                    </w:rPr>
                  </w:pPr>
                  <w:proofErr w:type="spellStart"/>
                  <w:r w:rsidRPr="008109D1">
                    <w:rPr>
                      <w:rFonts w:cs="Calibri"/>
                      <w:color w:val="000000"/>
                      <w:sz w:val="20"/>
                      <w:szCs w:val="20"/>
                    </w:rPr>
                    <w:t>PreRebDown</w:t>
                  </w:r>
                  <w:proofErr w:type="spellEnd"/>
                </w:p>
              </w:tc>
              <w:tc>
                <w:tcPr>
                  <w:tcW w:w="1800" w:type="dxa"/>
                  <w:tcBorders>
                    <w:top w:val="nil"/>
                    <w:left w:val="nil"/>
                    <w:bottom w:val="single" w:sz="4" w:space="0" w:color="auto"/>
                    <w:right w:val="single" w:sz="8" w:space="0" w:color="auto"/>
                  </w:tcBorders>
                  <w:shd w:val="clear" w:color="auto" w:fill="auto"/>
                  <w:vAlign w:val="center"/>
                  <w:hideMark/>
                </w:tcPr>
                <w:p w14:paraId="50ABC074" w14:textId="422E7066" w:rsidR="00CE4153" w:rsidRPr="008109D1" w:rsidRDefault="00CE4153" w:rsidP="00C31097">
                  <w:pPr>
                    <w:jc w:val="center"/>
                    <w:rPr>
                      <w:rFonts w:cs="Calibri"/>
                      <w:color w:val="000000"/>
                      <w:sz w:val="20"/>
                      <w:szCs w:val="20"/>
                    </w:rPr>
                  </w:pPr>
                </w:p>
              </w:tc>
            </w:tr>
            <w:tr w:rsidR="00CE4153" w:rsidRPr="00C31097" w14:paraId="1FB5DC41" w14:textId="77777777" w:rsidTr="00F85A7C">
              <w:trPr>
                <w:trHeight w:val="223"/>
              </w:trPr>
              <w:tc>
                <w:tcPr>
                  <w:tcW w:w="1321" w:type="dxa"/>
                  <w:vMerge/>
                  <w:tcBorders>
                    <w:left w:val="single" w:sz="8" w:space="0" w:color="auto"/>
                    <w:right w:val="single" w:sz="4" w:space="0" w:color="auto"/>
                  </w:tcBorders>
                  <w:shd w:val="clear" w:color="auto" w:fill="auto"/>
                  <w:noWrap/>
                  <w:vAlign w:val="center"/>
                  <w:hideMark/>
                </w:tcPr>
                <w:p w14:paraId="5627B6BE" w14:textId="7D92BDDB"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4C9A73EF" w14:textId="77777777" w:rsidR="00CE4153" w:rsidRPr="008109D1" w:rsidRDefault="00CE4153" w:rsidP="00C31097">
                  <w:pP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5C5E7AA7" w14:textId="71D7EC91" w:rsidR="00CE4153" w:rsidRPr="008109D1" w:rsidRDefault="00CE4153" w:rsidP="00C31097">
                  <w:pPr>
                    <w:jc w:val="cente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2F9448E9" w14:textId="6E44623E" w:rsidR="00CE4153" w:rsidRPr="008109D1" w:rsidRDefault="00CE4153" w:rsidP="00C31097">
                  <w:pPr>
                    <w:jc w:val="center"/>
                    <w:rPr>
                      <w:rFonts w:cs="Calibri"/>
                      <w:color w:val="000000"/>
                      <w:sz w:val="20"/>
                      <w:szCs w:val="20"/>
                    </w:rPr>
                  </w:pPr>
                </w:p>
              </w:tc>
              <w:tc>
                <w:tcPr>
                  <w:tcW w:w="1800" w:type="dxa"/>
                  <w:tcBorders>
                    <w:top w:val="nil"/>
                    <w:left w:val="nil"/>
                    <w:bottom w:val="single" w:sz="4" w:space="0" w:color="auto"/>
                    <w:right w:val="single" w:sz="8" w:space="0" w:color="auto"/>
                  </w:tcBorders>
                  <w:shd w:val="clear" w:color="auto" w:fill="auto"/>
                  <w:vAlign w:val="center"/>
                  <w:hideMark/>
                </w:tcPr>
                <w:p w14:paraId="66BDF03A" w14:textId="77777777" w:rsidR="00CE4153" w:rsidRPr="008109D1" w:rsidRDefault="00CE4153" w:rsidP="00C31097">
                  <w:pPr>
                    <w:jc w:val="center"/>
                    <w:rPr>
                      <w:rFonts w:cs="Calibri"/>
                      <w:color w:val="000000"/>
                      <w:sz w:val="20"/>
                      <w:szCs w:val="20"/>
                    </w:rPr>
                  </w:pPr>
                  <w:r w:rsidRPr="008109D1">
                    <w:rPr>
                      <w:rFonts w:cs="Calibri"/>
                      <w:color w:val="000000"/>
                      <w:sz w:val="20"/>
                      <w:szCs w:val="20"/>
                    </w:rPr>
                    <w:t>DEER2017 - D17 v2</w:t>
                  </w:r>
                </w:p>
              </w:tc>
            </w:tr>
            <w:tr w:rsidR="00CE4153" w:rsidRPr="00C31097" w14:paraId="268E9DBC" w14:textId="77777777" w:rsidTr="00F85A7C">
              <w:trPr>
                <w:trHeight w:val="232"/>
              </w:trPr>
              <w:tc>
                <w:tcPr>
                  <w:tcW w:w="1321" w:type="dxa"/>
                  <w:vMerge/>
                  <w:tcBorders>
                    <w:left w:val="single" w:sz="8" w:space="0" w:color="auto"/>
                    <w:bottom w:val="single" w:sz="8" w:space="0" w:color="auto"/>
                    <w:right w:val="single" w:sz="4" w:space="0" w:color="auto"/>
                  </w:tcBorders>
                  <w:shd w:val="clear" w:color="auto" w:fill="auto"/>
                  <w:vAlign w:val="center"/>
                  <w:hideMark/>
                </w:tcPr>
                <w:p w14:paraId="1ECF74C5" w14:textId="481D1F8C"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17BF642A" w14:textId="77777777" w:rsidR="00CE4153" w:rsidRPr="008109D1" w:rsidRDefault="00CE4153" w:rsidP="00C31097">
                  <w:pP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24725462" w14:textId="4AF9D1A0" w:rsidR="00CE4153" w:rsidRPr="008109D1" w:rsidRDefault="00CE4153" w:rsidP="00C31097">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511C051F" w14:textId="2BAE7463" w:rsidR="00CE4153" w:rsidRPr="008109D1" w:rsidRDefault="00CE4153" w:rsidP="00C31097">
                  <w:pPr>
                    <w:jc w:val="center"/>
                    <w:rPr>
                      <w:rFonts w:cs="Calibri"/>
                      <w:color w:val="000000"/>
                      <w:sz w:val="20"/>
                      <w:szCs w:val="20"/>
                    </w:rPr>
                  </w:pPr>
                </w:p>
              </w:tc>
              <w:tc>
                <w:tcPr>
                  <w:tcW w:w="1800" w:type="dxa"/>
                  <w:tcBorders>
                    <w:top w:val="nil"/>
                    <w:left w:val="nil"/>
                    <w:bottom w:val="single" w:sz="8" w:space="0" w:color="auto"/>
                    <w:right w:val="single" w:sz="8" w:space="0" w:color="auto"/>
                  </w:tcBorders>
                  <w:shd w:val="clear" w:color="auto" w:fill="auto"/>
                  <w:vAlign w:val="center"/>
                  <w:hideMark/>
                </w:tcPr>
                <w:p w14:paraId="3AFD6814" w14:textId="554384B0" w:rsidR="00CE4153" w:rsidRPr="008109D1" w:rsidRDefault="00CE4153" w:rsidP="00C31097">
                  <w:pPr>
                    <w:jc w:val="center"/>
                    <w:rPr>
                      <w:rFonts w:cs="Calibri"/>
                      <w:color w:val="000000"/>
                      <w:sz w:val="20"/>
                      <w:szCs w:val="20"/>
                    </w:rPr>
                  </w:pPr>
                </w:p>
              </w:tc>
            </w:tr>
            <w:tr w:rsidR="00CE4153" w:rsidRPr="00C31097" w14:paraId="670DACAC" w14:textId="77777777" w:rsidTr="00BA5F7D">
              <w:trPr>
                <w:trHeight w:val="178"/>
              </w:trPr>
              <w:tc>
                <w:tcPr>
                  <w:tcW w:w="1321" w:type="dxa"/>
                  <w:vMerge w:val="restart"/>
                  <w:tcBorders>
                    <w:top w:val="nil"/>
                    <w:left w:val="single" w:sz="8" w:space="0" w:color="auto"/>
                    <w:right w:val="single" w:sz="4" w:space="0" w:color="auto"/>
                  </w:tcBorders>
                  <w:shd w:val="clear" w:color="auto" w:fill="auto"/>
                  <w:vAlign w:val="center"/>
                  <w:hideMark/>
                </w:tcPr>
                <w:p w14:paraId="4846004D" w14:textId="77777777" w:rsidR="00CE4153" w:rsidRPr="008109D1" w:rsidRDefault="00CE4153" w:rsidP="00C31097">
                  <w:pPr>
                    <w:jc w:val="center"/>
                    <w:rPr>
                      <w:rFonts w:cs="Calibri"/>
                      <w:color w:val="000000"/>
                      <w:sz w:val="20"/>
                      <w:szCs w:val="20"/>
                    </w:rPr>
                  </w:pPr>
                  <w:r w:rsidRPr="008109D1">
                    <w:rPr>
                      <w:rFonts w:cs="Calibri"/>
                      <w:color w:val="000000"/>
                      <w:sz w:val="20"/>
                      <w:szCs w:val="20"/>
                    </w:rPr>
                    <w:t>462513</w:t>
                  </w:r>
                </w:p>
              </w:tc>
              <w:tc>
                <w:tcPr>
                  <w:tcW w:w="1624" w:type="dxa"/>
                  <w:vMerge w:val="restart"/>
                  <w:tcBorders>
                    <w:top w:val="nil"/>
                    <w:left w:val="single" w:sz="4" w:space="0" w:color="auto"/>
                    <w:bottom w:val="single" w:sz="8" w:space="0" w:color="000000"/>
                    <w:right w:val="single" w:sz="4" w:space="0" w:color="auto"/>
                  </w:tcBorders>
                  <w:shd w:val="clear" w:color="auto" w:fill="auto"/>
                  <w:vAlign w:val="center"/>
                  <w:hideMark/>
                </w:tcPr>
                <w:p w14:paraId="40865CFE" w14:textId="77777777" w:rsidR="00CE4153" w:rsidRPr="008109D1" w:rsidRDefault="00CE4153" w:rsidP="00C31097">
                  <w:pPr>
                    <w:jc w:val="center"/>
                    <w:rPr>
                      <w:rFonts w:cs="Calibri"/>
                      <w:color w:val="000000"/>
                      <w:sz w:val="20"/>
                      <w:szCs w:val="20"/>
                    </w:rPr>
                  </w:pPr>
                  <w:r w:rsidRPr="008109D1">
                    <w:rPr>
                      <w:rFonts w:cs="Calibri"/>
                      <w:color w:val="000000"/>
                      <w:sz w:val="20"/>
                      <w:szCs w:val="20"/>
                    </w:rPr>
                    <w:t>Res-GasFurnace-AFUE95</w:t>
                  </w:r>
                </w:p>
              </w:tc>
              <w:tc>
                <w:tcPr>
                  <w:tcW w:w="1350" w:type="dxa"/>
                  <w:vMerge w:val="restart"/>
                  <w:tcBorders>
                    <w:top w:val="nil"/>
                    <w:left w:val="nil"/>
                    <w:right w:val="single" w:sz="4" w:space="0" w:color="auto"/>
                  </w:tcBorders>
                  <w:shd w:val="clear" w:color="auto" w:fill="auto"/>
                  <w:vAlign w:val="center"/>
                  <w:hideMark/>
                </w:tcPr>
                <w:p w14:paraId="7DAA6000" w14:textId="32BA3E9A" w:rsidR="00CE4153" w:rsidRPr="008109D1" w:rsidRDefault="00CE4153" w:rsidP="00C31097">
                  <w:pPr>
                    <w:jc w:val="center"/>
                    <w:rPr>
                      <w:rFonts w:cs="Calibri"/>
                      <w:color w:val="000000"/>
                      <w:sz w:val="20"/>
                      <w:szCs w:val="20"/>
                    </w:rPr>
                  </w:pPr>
                  <w:r>
                    <w:rPr>
                      <w:rFonts w:cs="Calibri"/>
                      <w:color w:val="000000"/>
                      <w:sz w:val="20"/>
                      <w:szCs w:val="20"/>
                    </w:rPr>
                    <w:t>Res</w:t>
                  </w:r>
                </w:p>
              </w:tc>
              <w:tc>
                <w:tcPr>
                  <w:tcW w:w="1350" w:type="dxa"/>
                  <w:vMerge w:val="restart"/>
                  <w:tcBorders>
                    <w:top w:val="nil"/>
                    <w:left w:val="nil"/>
                    <w:right w:val="single" w:sz="4" w:space="0" w:color="auto"/>
                  </w:tcBorders>
                  <w:shd w:val="clear" w:color="auto" w:fill="auto"/>
                  <w:vAlign w:val="center"/>
                  <w:hideMark/>
                </w:tcPr>
                <w:p w14:paraId="0C31D724" w14:textId="3BD4DBCE" w:rsidR="00CE4153" w:rsidRPr="008109D1" w:rsidRDefault="00CE4153" w:rsidP="00C31097">
                  <w:pPr>
                    <w:jc w:val="center"/>
                    <w:rPr>
                      <w:rFonts w:cs="Calibri"/>
                      <w:color w:val="000000"/>
                      <w:sz w:val="20"/>
                      <w:szCs w:val="20"/>
                    </w:rPr>
                  </w:pPr>
                  <w:proofErr w:type="spellStart"/>
                  <w:r w:rsidRPr="008109D1">
                    <w:rPr>
                      <w:rFonts w:cs="Calibri"/>
                      <w:color w:val="000000"/>
                      <w:sz w:val="20"/>
                      <w:szCs w:val="20"/>
                    </w:rPr>
                    <w:t>PreRebDown</w:t>
                  </w:r>
                  <w:proofErr w:type="spellEnd"/>
                </w:p>
              </w:tc>
              <w:tc>
                <w:tcPr>
                  <w:tcW w:w="1800" w:type="dxa"/>
                  <w:tcBorders>
                    <w:top w:val="nil"/>
                    <w:left w:val="nil"/>
                    <w:bottom w:val="single" w:sz="4" w:space="0" w:color="auto"/>
                    <w:right w:val="single" w:sz="8" w:space="0" w:color="auto"/>
                  </w:tcBorders>
                  <w:shd w:val="clear" w:color="auto" w:fill="auto"/>
                  <w:vAlign w:val="center"/>
                  <w:hideMark/>
                </w:tcPr>
                <w:p w14:paraId="6F172C5C" w14:textId="3A418164" w:rsidR="00CE4153" w:rsidRPr="008109D1" w:rsidRDefault="00CE4153" w:rsidP="00C31097">
                  <w:pPr>
                    <w:jc w:val="center"/>
                    <w:rPr>
                      <w:rFonts w:cs="Calibri"/>
                      <w:color w:val="000000"/>
                      <w:sz w:val="20"/>
                      <w:szCs w:val="20"/>
                    </w:rPr>
                  </w:pPr>
                </w:p>
              </w:tc>
            </w:tr>
            <w:tr w:rsidR="00CE4153" w:rsidRPr="00C31097" w14:paraId="0FABE741" w14:textId="77777777" w:rsidTr="00BA5F7D">
              <w:trPr>
                <w:trHeight w:val="187"/>
              </w:trPr>
              <w:tc>
                <w:tcPr>
                  <w:tcW w:w="1321" w:type="dxa"/>
                  <w:vMerge/>
                  <w:tcBorders>
                    <w:left w:val="single" w:sz="8" w:space="0" w:color="auto"/>
                    <w:right w:val="single" w:sz="4" w:space="0" w:color="auto"/>
                  </w:tcBorders>
                  <w:shd w:val="clear" w:color="auto" w:fill="auto"/>
                  <w:noWrap/>
                  <w:vAlign w:val="center"/>
                  <w:hideMark/>
                </w:tcPr>
                <w:p w14:paraId="12A62804" w14:textId="46782D3C"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0B59D9A7" w14:textId="77777777" w:rsidR="00CE4153" w:rsidRPr="008109D1" w:rsidRDefault="00CE4153" w:rsidP="00C31097">
                  <w:pP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10FF97FD" w14:textId="351CF39B" w:rsidR="00CE4153" w:rsidRPr="008109D1" w:rsidRDefault="00CE4153" w:rsidP="00C31097">
                  <w:pPr>
                    <w:jc w:val="cente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387680DB" w14:textId="6BA1DE2A" w:rsidR="00CE4153" w:rsidRPr="008109D1" w:rsidRDefault="00CE4153" w:rsidP="00C31097">
                  <w:pPr>
                    <w:jc w:val="center"/>
                    <w:rPr>
                      <w:rFonts w:cs="Calibri"/>
                      <w:color w:val="000000"/>
                      <w:sz w:val="20"/>
                      <w:szCs w:val="20"/>
                    </w:rPr>
                  </w:pPr>
                </w:p>
              </w:tc>
              <w:tc>
                <w:tcPr>
                  <w:tcW w:w="1800" w:type="dxa"/>
                  <w:tcBorders>
                    <w:top w:val="nil"/>
                    <w:left w:val="nil"/>
                    <w:bottom w:val="single" w:sz="4" w:space="0" w:color="auto"/>
                    <w:right w:val="single" w:sz="8" w:space="0" w:color="auto"/>
                  </w:tcBorders>
                  <w:shd w:val="clear" w:color="auto" w:fill="auto"/>
                  <w:vAlign w:val="center"/>
                  <w:hideMark/>
                </w:tcPr>
                <w:p w14:paraId="353A1106" w14:textId="77777777" w:rsidR="00CE4153" w:rsidRPr="008109D1" w:rsidRDefault="00CE4153" w:rsidP="00C31097">
                  <w:pPr>
                    <w:jc w:val="center"/>
                    <w:rPr>
                      <w:rFonts w:cs="Calibri"/>
                      <w:color w:val="000000"/>
                      <w:sz w:val="20"/>
                      <w:szCs w:val="20"/>
                    </w:rPr>
                  </w:pPr>
                  <w:r w:rsidRPr="008109D1">
                    <w:rPr>
                      <w:rFonts w:cs="Calibri"/>
                      <w:color w:val="000000"/>
                      <w:sz w:val="20"/>
                      <w:szCs w:val="20"/>
                    </w:rPr>
                    <w:t>DEER2017 - D17 v2</w:t>
                  </w:r>
                </w:p>
              </w:tc>
            </w:tr>
            <w:tr w:rsidR="00CE4153" w:rsidRPr="00C31097" w14:paraId="7E8C71D6" w14:textId="77777777" w:rsidTr="00BA5F7D">
              <w:trPr>
                <w:trHeight w:val="196"/>
              </w:trPr>
              <w:tc>
                <w:tcPr>
                  <w:tcW w:w="1321" w:type="dxa"/>
                  <w:vMerge/>
                  <w:tcBorders>
                    <w:left w:val="single" w:sz="8" w:space="0" w:color="auto"/>
                    <w:bottom w:val="single" w:sz="8" w:space="0" w:color="auto"/>
                    <w:right w:val="single" w:sz="4" w:space="0" w:color="auto"/>
                  </w:tcBorders>
                  <w:shd w:val="clear" w:color="auto" w:fill="auto"/>
                  <w:vAlign w:val="center"/>
                  <w:hideMark/>
                </w:tcPr>
                <w:p w14:paraId="50D35472" w14:textId="2C5A556A"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565B7D38" w14:textId="77777777" w:rsidR="00CE4153" w:rsidRPr="008109D1" w:rsidRDefault="00CE4153" w:rsidP="00C31097">
                  <w:pP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0EDFA517" w14:textId="4E779D5D" w:rsidR="00CE4153" w:rsidRPr="008109D1" w:rsidRDefault="00CE4153" w:rsidP="00C31097">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34CD0B5E" w14:textId="31C74132" w:rsidR="00CE4153" w:rsidRPr="008109D1" w:rsidRDefault="00CE4153" w:rsidP="00C31097">
                  <w:pPr>
                    <w:jc w:val="center"/>
                    <w:rPr>
                      <w:rFonts w:cs="Calibri"/>
                      <w:color w:val="000000"/>
                      <w:sz w:val="20"/>
                      <w:szCs w:val="20"/>
                    </w:rPr>
                  </w:pPr>
                </w:p>
              </w:tc>
              <w:tc>
                <w:tcPr>
                  <w:tcW w:w="1800" w:type="dxa"/>
                  <w:tcBorders>
                    <w:top w:val="nil"/>
                    <w:left w:val="nil"/>
                    <w:bottom w:val="single" w:sz="8" w:space="0" w:color="auto"/>
                    <w:right w:val="single" w:sz="8" w:space="0" w:color="auto"/>
                  </w:tcBorders>
                  <w:shd w:val="clear" w:color="auto" w:fill="auto"/>
                  <w:vAlign w:val="center"/>
                  <w:hideMark/>
                </w:tcPr>
                <w:p w14:paraId="3939EED7" w14:textId="47E505E1" w:rsidR="00CE4153" w:rsidRPr="008109D1" w:rsidRDefault="00CE4153" w:rsidP="00C31097">
                  <w:pPr>
                    <w:jc w:val="center"/>
                    <w:rPr>
                      <w:rFonts w:cs="Calibri"/>
                      <w:color w:val="000000"/>
                      <w:sz w:val="20"/>
                      <w:szCs w:val="20"/>
                    </w:rPr>
                  </w:pPr>
                </w:p>
              </w:tc>
            </w:tr>
            <w:tr w:rsidR="00CE4153" w:rsidRPr="00C31097" w14:paraId="63BEA8F5" w14:textId="77777777" w:rsidTr="001E6565">
              <w:trPr>
                <w:trHeight w:val="205"/>
              </w:trPr>
              <w:tc>
                <w:tcPr>
                  <w:tcW w:w="1321" w:type="dxa"/>
                  <w:vMerge w:val="restart"/>
                  <w:tcBorders>
                    <w:top w:val="nil"/>
                    <w:left w:val="single" w:sz="8" w:space="0" w:color="auto"/>
                    <w:right w:val="single" w:sz="4" w:space="0" w:color="auto"/>
                  </w:tcBorders>
                  <w:shd w:val="clear" w:color="auto" w:fill="auto"/>
                  <w:vAlign w:val="center"/>
                  <w:hideMark/>
                </w:tcPr>
                <w:p w14:paraId="6CF826BC" w14:textId="109FFD31" w:rsidR="00CE4153" w:rsidRPr="008109D1" w:rsidRDefault="00CE4153" w:rsidP="00C31097">
                  <w:pPr>
                    <w:jc w:val="center"/>
                    <w:rPr>
                      <w:rFonts w:cs="Calibri"/>
                      <w:color w:val="000000"/>
                      <w:sz w:val="20"/>
                      <w:szCs w:val="20"/>
                    </w:rPr>
                  </w:pPr>
                  <w:r w:rsidRPr="008109D1">
                    <w:rPr>
                      <w:rFonts w:cs="Calibri"/>
                      <w:color w:val="000000"/>
                      <w:sz w:val="20"/>
                      <w:szCs w:val="20"/>
                    </w:rPr>
                    <w:t>462514</w:t>
                  </w:r>
                  <w:r w:rsidR="001D0BEA">
                    <w:rPr>
                      <w:rFonts w:cs="Calibri"/>
                      <w:color w:val="000000"/>
                      <w:sz w:val="20"/>
                      <w:szCs w:val="20"/>
                    </w:rPr>
                    <w:t xml:space="preserve"> &amp; 462819</w:t>
                  </w:r>
                </w:p>
              </w:tc>
              <w:tc>
                <w:tcPr>
                  <w:tcW w:w="1624" w:type="dxa"/>
                  <w:vMerge w:val="restart"/>
                  <w:tcBorders>
                    <w:top w:val="nil"/>
                    <w:left w:val="single" w:sz="4" w:space="0" w:color="auto"/>
                    <w:bottom w:val="single" w:sz="8" w:space="0" w:color="000000"/>
                    <w:right w:val="single" w:sz="4" w:space="0" w:color="auto"/>
                  </w:tcBorders>
                  <w:shd w:val="clear" w:color="auto" w:fill="auto"/>
                  <w:vAlign w:val="center"/>
                  <w:hideMark/>
                </w:tcPr>
                <w:p w14:paraId="06F2EE37" w14:textId="77777777" w:rsidR="00CE4153" w:rsidRPr="008109D1" w:rsidRDefault="00CE4153" w:rsidP="00C31097">
                  <w:pPr>
                    <w:jc w:val="center"/>
                    <w:rPr>
                      <w:rFonts w:cs="Calibri"/>
                      <w:color w:val="000000"/>
                      <w:sz w:val="20"/>
                      <w:szCs w:val="20"/>
                    </w:rPr>
                  </w:pPr>
                  <w:r w:rsidRPr="008109D1">
                    <w:rPr>
                      <w:rFonts w:cs="Calibri"/>
                      <w:color w:val="000000"/>
                      <w:sz w:val="20"/>
                      <w:szCs w:val="20"/>
                    </w:rPr>
                    <w:t>Res-GasFurnace-AFUE96</w:t>
                  </w:r>
                </w:p>
              </w:tc>
              <w:tc>
                <w:tcPr>
                  <w:tcW w:w="1350" w:type="dxa"/>
                  <w:vMerge w:val="restart"/>
                  <w:tcBorders>
                    <w:top w:val="nil"/>
                    <w:left w:val="nil"/>
                    <w:right w:val="single" w:sz="4" w:space="0" w:color="auto"/>
                  </w:tcBorders>
                  <w:shd w:val="clear" w:color="auto" w:fill="auto"/>
                  <w:vAlign w:val="center"/>
                  <w:hideMark/>
                </w:tcPr>
                <w:p w14:paraId="30A96775" w14:textId="20B2C6D5" w:rsidR="00CE4153" w:rsidRPr="008109D1" w:rsidRDefault="00CE4153" w:rsidP="00C31097">
                  <w:pPr>
                    <w:jc w:val="center"/>
                    <w:rPr>
                      <w:rFonts w:cs="Calibri"/>
                      <w:color w:val="000000"/>
                      <w:sz w:val="20"/>
                      <w:szCs w:val="20"/>
                    </w:rPr>
                  </w:pPr>
                  <w:r>
                    <w:rPr>
                      <w:rFonts w:cs="Calibri"/>
                      <w:color w:val="000000"/>
                      <w:sz w:val="20"/>
                      <w:szCs w:val="20"/>
                    </w:rPr>
                    <w:t>Res</w:t>
                  </w:r>
                </w:p>
              </w:tc>
              <w:tc>
                <w:tcPr>
                  <w:tcW w:w="1350" w:type="dxa"/>
                  <w:vMerge w:val="restart"/>
                  <w:tcBorders>
                    <w:top w:val="nil"/>
                    <w:left w:val="nil"/>
                    <w:right w:val="single" w:sz="4" w:space="0" w:color="auto"/>
                  </w:tcBorders>
                  <w:shd w:val="clear" w:color="auto" w:fill="auto"/>
                  <w:vAlign w:val="center"/>
                  <w:hideMark/>
                </w:tcPr>
                <w:p w14:paraId="6DF2C52C" w14:textId="209A4C21" w:rsidR="00CE4153" w:rsidRPr="008109D1" w:rsidRDefault="00CE4153" w:rsidP="00C31097">
                  <w:pPr>
                    <w:jc w:val="center"/>
                    <w:rPr>
                      <w:rFonts w:cs="Calibri"/>
                      <w:color w:val="000000"/>
                      <w:sz w:val="20"/>
                      <w:szCs w:val="20"/>
                    </w:rPr>
                  </w:pPr>
                  <w:proofErr w:type="spellStart"/>
                  <w:r w:rsidRPr="008109D1">
                    <w:rPr>
                      <w:rFonts w:cs="Calibri"/>
                      <w:color w:val="000000"/>
                      <w:sz w:val="20"/>
                      <w:szCs w:val="20"/>
                    </w:rPr>
                    <w:t>PreRebDown</w:t>
                  </w:r>
                  <w:proofErr w:type="spellEnd"/>
                  <w:r w:rsidR="00AD0B65">
                    <w:rPr>
                      <w:rFonts w:cs="Calibri"/>
                      <w:color w:val="000000"/>
                      <w:sz w:val="20"/>
                      <w:szCs w:val="20"/>
                    </w:rPr>
                    <w:t xml:space="preserve"> &amp; </w:t>
                  </w:r>
                  <w:proofErr w:type="spellStart"/>
                  <w:r w:rsidR="00AD0B65">
                    <w:rPr>
                      <w:rFonts w:cs="Calibri"/>
                      <w:color w:val="000000"/>
                      <w:sz w:val="20"/>
                      <w:szCs w:val="20"/>
                    </w:rPr>
                    <w:t>PreRebUp</w:t>
                  </w:r>
                  <w:proofErr w:type="spellEnd"/>
                </w:p>
              </w:tc>
              <w:tc>
                <w:tcPr>
                  <w:tcW w:w="1800" w:type="dxa"/>
                  <w:tcBorders>
                    <w:top w:val="nil"/>
                    <w:left w:val="nil"/>
                    <w:bottom w:val="single" w:sz="4" w:space="0" w:color="auto"/>
                    <w:right w:val="single" w:sz="8" w:space="0" w:color="auto"/>
                  </w:tcBorders>
                  <w:shd w:val="clear" w:color="auto" w:fill="auto"/>
                  <w:vAlign w:val="center"/>
                  <w:hideMark/>
                </w:tcPr>
                <w:p w14:paraId="158328BD" w14:textId="09F80E68" w:rsidR="00CE4153" w:rsidRPr="008109D1" w:rsidRDefault="00CE4153" w:rsidP="00C31097">
                  <w:pPr>
                    <w:jc w:val="center"/>
                    <w:rPr>
                      <w:rFonts w:cs="Calibri"/>
                      <w:color w:val="000000"/>
                      <w:sz w:val="20"/>
                      <w:szCs w:val="20"/>
                    </w:rPr>
                  </w:pPr>
                </w:p>
              </w:tc>
            </w:tr>
            <w:tr w:rsidR="00CE4153" w:rsidRPr="00C31097" w14:paraId="181F10F6" w14:textId="77777777" w:rsidTr="001E6565">
              <w:trPr>
                <w:trHeight w:val="115"/>
              </w:trPr>
              <w:tc>
                <w:tcPr>
                  <w:tcW w:w="1321" w:type="dxa"/>
                  <w:vMerge/>
                  <w:tcBorders>
                    <w:left w:val="single" w:sz="8" w:space="0" w:color="auto"/>
                    <w:right w:val="single" w:sz="4" w:space="0" w:color="auto"/>
                  </w:tcBorders>
                  <w:shd w:val="clear" w:color="auto" w:fill="auto"/>
                  <w:noWrap/>
                  <w:vAlign w:val="center"/>
                  <w:hideMark/>
                </w:tcPr>
                <w:p w14:paraId="2464B817" w14:textId="5942A2D9"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46F71236" w14:textId="77777777" w:rsidR="00CE4153" w:rsidRPr="008109D1" w:rsidRDefault="00CE4153" w:rsidP="00C31097">
                  <w:pP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0F8282E1" w14:textId="5492D99A" w:rsidR="00CE4153" w:rsidRPr="008109D1" w:rsidRDefault="00CE4153" w:rsidP="00C31097">
                  <w:pPr>
                    <w:jc w:val="cente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1CE39C60" w14:textId="63F0AE8E" w:rsidR="00CE4153" w:rsidRPr="008109D1" w:rsidRDefault="00CE4153" w:rsidP="00C31097">
                  <w:pPr>
                    <w:jc w:val="center"/>
                    <w:rPr>
                      <w:rFonts w:cs="Calibri"/>
                      <w:color w:val="000000"/>
                      <w:sz w:val="20"/>
                      <w:szCs w:val="20"/>
                    </w:rPr>
                  </w:pPr>
                </w:p>
              </w:tc>
              <w:tc>
                <w:tcPr>
                  <w:tcW w:w="1800" w:type="dxa"/>
                  <w:tcBorders>
                    <w:top w:val="nil"/>
                    <w:left w:val="nil"/>
                    <w:bottom w:val="single" w:sz="4" w:space="0" w:color="auto"/>
                    <w:right w:val="single" w:sz="8" w:space="0" w:color="auto"/>
                  </w:tcBorders>
                  <w:shd w:val="clear" w:color="auto" w:fill="auto"/>
                  <w:vAlign w:val="center"/>
                  <w:hideMark/>
                </w:tcPr>
                <w:p w14:paraId="62F2CFE9" w14:textId="77777777" w:rsidR="00CE4153" w:rsidRPr="008109D1" w:rsidRDefault="00CE4153" w:rsidP="00C31097">
                  <w:pPr>
                    <w:jc w:val="center"/>
                    <w:rPr>
                      <w:rFonts w:cs="Calibri"/>
                      <w:color w:val="000000"/>
                      <w:sz w:val="20"/>
                      <w:szCs w:val="20"/>
                    </w:rPr>
                  </w:pPr>
                  <w:r w:rsidRPr="008109D1">
                    <w:rPr>
                      <w:rFonts w:cs="Calibri"/>
                      <w:color w:val="000000"/>
                      <w:sz w:val="20"/>
                      <w:szCs w:val="20"/>
                    </w:rPr>
                    <w:t>DEER2017 - D17 v2</w:t>
                  </w:r>
                </w:p>
              </w:tc>
            </w:tr>
            <w:tr w:rsidR="00CE4153" w:rsidRPr="00C31097" w14:paraId="0E357814" w14:textId="77777777" w:rsidTr="001E6565">
              <w:trPr>
                <w:trHeight w:val="240"/>
              </w:trPr>
              <w:tc>
                <w:tcPr>
                  <w:tcW w:w="1321" w:type="dxa"/>
                  <w:vMerge/>
                  <w:tcBorders>
                    <w:left w:val="single" w:sz="8" w:space="0" w:color="auto"/>
                    <w:bottom w:val="single" w:sz="8" w:space="0" w:color="auto"/>
                    <w:right w:val="single" w:sz="4" w:space="0" w:color="auto"/>
                  </w:tcBorders>
                  <w:shd w:val="clear" w:color="auto" w:fill="auto"/>
                  <w:vAlign w:val="center"/>
                  <w:hideMark/>
                </w:tcPr>
                <w:p w14:paraId="7ADA75BF" w14:textId="14370FF3"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29E40C0F" w14:textId="77777777" w:rsidR="00CE4153" w:rsidRPr="008109D1" w:rsidRDefault="00CE4153" w:rsidP="00C31097">
                  <w:pP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2CAF760A" w14:textId="7351BD5B" w:rsidR="00CE4153" w:rsidRPr="008109D1" w:rsidRDefault="00CE4153" w:rsidP="00C31097">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62502842" w14:textId="6D91967C" w:rsidR="00CE4153" w:rsidRPr="008109D1" w:rsidRDefault="00CE4153" w:rsidP="00C31097">
                  <w:pPr>
                    <w:jc w:val="center"/>
                    <w:rPr>
                      <w:rFonts w:cs="Calibri"/>
                      <w:color w:val="000000"/>
                      <w:sz w:val="20"/>
                      <w:szCs w:val="20"/>
                    </w:rPr>
                  </w:pPr>
                </w:p>
              </w:tc>
              <w:tc>
                <w:tcPr>
                  <w:tcW w:w="1800" w:type="dxa"/>
                  <w:tcBorders>
                    <w:top w:val="nil"/>
                    <w:left w:val="nil"/>
                    <w:bottom w:val="single" w:sz="8" w:space="0" w:color="auto"/>
                    <w:right w:val="single" w:sz="8" w:space="0" w:color="auto"/>
                  </w:tcBorders>
                  <w:shd w:val="clear" w:color="auto" w:fill="auto"/>
                  <w:vAlign w:val="center"/>
                  <w:hideMark/>
                </w:tcPr>
                <w:p w14:paraId="382568E2" w14:textId="5041DA0B" w:rsidR="00CE4153" w:rsidRPr="008109D1" w:rsidRDefault="00CE4153" w:rsidP="00C31097">
                  <w:pPr>
                    <w:jc w:val="center"/>
                    <w:rPr>
                      <w:rFonts w:cs="Calibri"/>
                      <w:color w:val="000000"/>
                      <w:sz w:val="20"/>
                      <w:szCs w:val="20"/>
                    </w:rPr>
                  </w:pPr>
                </w:p>
              </w:tc>
            </w:tr>
            <w:tr w:rsidR="00CE4153" w:rsidRPr="00C31097" w14:paraId="7DF8F073" w14:textId="77777777" w:rsidTr="006D459B">
              <w:trPr>
                <w:trHeight w:val="255"/>
              </w:trPr>
              <w:tc>
                <w:tcPr>
                  <w:tcW w:w="1321" w:type="dxa"/>
                  <w:vMerge w:val="restart"/>
                  <w:tcBorders>
                    <w:top w:val="nil"/>
                    <w:left w:val="single" w:sz="8" w:space="0" w:color="auto"/>
                    <w:right w:val="single" w:sz="4" w:space="0" w:color="auto"/>
                  </w:tcBorders>
                  <w:shd w:val="clear" w:color="auto" w:fill="auto"/>
                  <w:vAlign w:val="center"/>
                  <w:hideMark/>
                </w:tcPr>
                <w:p w14:paraId="344C3FCE" w14:textId="09BD913D" w:rsidR="00CE4153" w:rsidRPr="008109D1" w:rsidRDefault="00CE4153" w:rsidP="00C31097">
                  <w:pPr>
                    <w:jc w:val="center"/>
                    <w:rPr>
                      <w:rFonts w:cs="Calibri"/>
                      <w:color w:val="000000"/>
                      <w:sz w:val="20"/>
                      <w:szCs w:val="20"/>
                    </w:rPr>
                  </w:pPr>
                  <w:r w:rsidRPr="008109D1">
                    <w:rPr>
                      <w:rFonts w:cs="Calibri"/>
                      <w:color w:val="000000"/>
                      <w:sz w:val="20"/>
                      <w:szCs w:val="20"/>
                    </w:rPr>
                    <w:t>462515</w:t>
                  </w:r>
                  <w:r w:rsidR="001D0BEA">
                    <w:rPr>
                      <w:rFonts w:cs="Calibri"/>
                      <w:color w:val="000000"/>
                      <w:sz w:val="20"/>
                      <w:szCs w:val="20"/>
                    </w:rPr>
                    <w:t xml:space="preserve"> &amp; 462765</w:t>
                  </w:r>
                </w:p>
              </w:tc>
              <w:tc>
                <w:tcPr>
                  <w:tcW w:w="1624" w:type="dxa"/>
                  <w:vMerge w:val="restart"/>
                  <w:tcBorders>
                    <w:top w:val="nil"/>
                    <w:left w:val="single" w:sz="4" w:space="0" w:color="auto"/>
                    <w:bottom w:val="single" w:sz="8" w:space="0" w:color="000000"/>
                    <w:right w:val="single" w:sz="4" w:space="0" w:color="auto"/>
                  </w:tcBorders>
                  <w:shd w:val="clear" w:color="auto" w:fill="auto"/>
                  <w:vAlign w:val="center"/>
                  <w:hideMark/>
                </w:tcPr>
                <w:p w14:paraId="6C387F93" w14:textId="77777777" w:rsidR="00CE4153" w:rsidRPr="008109D1" w:rsidRDefault="00CE4153" w:rsidP="00C31097">
                  <w:pPr>
                    <w:jc w:val="center"/>
                    <w:rPr>
                      <w:rFonts w:cs="Calibri"/>
                      <w:color w:val="000000"/>
                      <w:sz w:val="20"/>
                      <w:szCs w:val="20"/>
                    </w:rPr>
                  </w:pPr>
                  <w:r w:rsidRPr="008109D1">
                    <w:rPr>
                      <w:rFonts w:cs="Calibri"/>
                      <w:color w:val="000000"/>
                      <w:sz w:val="20"/>
                      <w:szCs w:val="20"/>
                    </w:rPr>
                    <w:t>Res-GasFurnace-AFUE97</w:t>
                  </w:r>
                </w:p>
              </w:tc>
              <w:tc>
                <w:tcPr>
                  <w:tcW w:w="1350" w:type="dxa"/>
                  <w:vMerge w:val="restart"/>
                  <w:tcBorders>
                    <w:top w:val="nil"/>
                    <w:left w:val="nil"/>
                    <w:right w:val="single" w:sz="4" w:space="0" w:color="auto"/>
                  </w:tcBorders>
                  <w:shd w:val="clear" w:color="auto" w:fill="auto"/>
                  <w:vAlign w:val="center"/>
                  <w:hideMark/>
                </w:tcPr>
                <w:p w14:paraId="4E831E04" w14:textId="128C04A9" w:rsidR="00CE4153" w:rsidRPr="008109D1" w:rsidRDefault="00CE4153" w:rsidP="00C31097">
                  <w:pPr>
                    <w:jc w:val="center"/>
                    <w:rPr>
                      <w:rFonts w:cs="Calibri"/>
                      <w:color w:val="000000"/>
                      <w:sz w:val="20"/>
                      <w:szCs w:val="20"/>
                    </w:rPr>
                  </w:pPr>
                  <w:r>
                    <w:rPr>
                      <w:rFonts w:cs="Calibri"/>
                      <w:color w:val="000000"/>
                      <w:sz w:val="20"/>
                      <w:szCs w:val="20"/>
                    </w:rPr>
                    <w:t>Res</w:t>
                  </w:r>
                </w:p>
              </w:tc>
              <w:tc>
                <w:tcPr>
                  <w:tcW w:w="1350" w:type="dxa"/>
                  <w:vMerge w:val="restart"/>
                  <w:tcBorders>
                    <w:top w:val="nil"/>
                    <w:left w:val="nil"/>
                    <w:right w:val="single" w:sz="4" w:space="0" w:color="auto"/>
                  </w:tcBorders>
                  <w:shd w:val="clear" w:color="auto" w:fill="auto"/>
                  <w:vAlign w:val="center"/>
                  <w:hideMark/>
                </w:tcPr>
                <w:p w14:paraId="172363C9" w14:textId="4EB3B4CD" w:rsidR="00CE4153" w:rsidRPr="008109D1" w:rsidRDefault="00CE4153" w:rsidP="00C31097">
                  <w:pPr>
                    <w:jc w:val="center"/>
                    <w:rPr>
                      <w:rFonts w:cs="Calibri"/>
                      <w:color w:val="000000"/>
                      <w:sz w:val="20"/>
                      <w:szCs w:val="20"/>
                    </w:rPr>
                  </w:pPr>
                  <w:proofErr w:type="spellStart"/>
                  <w:r w:rsidRPr="008109D1">
                    <w:rPr>
                      <w:rFonts w:cs="Calibri"/>
                      <w:color w:val="000000"/>
                      <w:sz w:val="20"/>
                      <w:szCs w:val="20"/>
                    </w:rPr>
                    <w:t>PreRebDown</w:t>
                  </w:r>
                  <w:proofErr w:type="spellEnd"/>
                  <w:r w:rsidR="00AD0B65">
                    <w:rPr>
                      <w:rFonts w:cs="Calibri"/>
                      <w:color w:val="000000"/>
                      <w:sz w:val="20"/>
                      <w:szCs w:val="20"/>
                    </w:rPr>
                    <w:t xml:space="preserve"> &amp; </w:t>
                  </w:r>
                  <w:proofErr w:type="spellStart"/>
                  <w:r w:rsidR="00AD0B65">
                    <w:rPr>
                      <w:rFonts w:cs="Calibri"/>
                      <w:color w:val="000000"/>
                      <w:sz w:val="20"/>
                      <w:szCs w:val="20"/>
                    </w:rPr>
                    <w:t>PreRebUp</w:t>
                  </w:r>
                  <w:proofErr w:type="spellEnd"/>
                </w:p>
              </w:tc>
              <w:tc>
                <w:tcPr>
                  <w:tcW w:w="1800" w:type="dxa"/>
                  <w:tcBorders>
                    <w:top w:val="nil"/>
                    <w:left w:val="nil"/>
                    <w:bottom w:val="single" w:sz="4" w:space="0" w:color="auto"/>
                    <w:right w:val="single" w:sz="8" w:space="0" w:color="auto"/>
                  </w:tcBorders>
                  <w:shd w:val="clear" w:color="auto" w:fill="auto"/>
                  <w:vAlign w:val="center"/>
                  <w:hideMark/>
                </w:tcPr>
                <w:p w14:paraId="43B7D1D0" w14:textId="6827BCE9" w:rsidR="00CE4153" w:rsidRPr="008109D1" w:rsidRDefault="00CE4153" w:rsidP="00C31097">
                  <w:pPr>
                    <w:jc w:val="center"/>
                    <w:rPr>
                      <w:rFonts w:cs="Calibri"/>
                      <w:color w:val="000000"/>
                      <w:sz w:val="20"/>
                      <w:szCs w:val="20"/>
                    </w:rPr>
                  </w:pPr>
                </w:p>
              </w:tc>
            </w:tr>
            <w:tr w:rsidR="00CE4153" w:rsidRPr="00C31097" w14:paraId="417DE04A" w14:textId="77777777" w:rsidTr="006D459B">
              <w:trPr>
                <w:trHeight w:val="115"/>
              </w:trPr>
              <w:tc>
                <w:tcPr>
                  <w:tcW w:w="1321" w:type="dxa"/>
                  <w:vMerge/>
                  <w:tcBorders>
                    <w:left w:val="single" w:sz="8" w:space="0" w:color="auto"/>
                    <w:right w:val="single" w:sz="4" w:space="0" w:color="auto"/>
                  </w:tcBorders>
                  <w:shd w:val="clear" w:color="auto" w:fill="auto"/>
                  <w:noWrap/>
                  <w:vAlign w:val="center"/>
                  <w:hideMark/>
                </w:tcPr>
                <w:p w14:paraId="522D6E74" w14:textId="4405CA72"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33F32997" w14:textId="77777777" w:rsidR="00CE4153" w:rsidRPr="008109D1" w:rsidRDefault="00CE4153" w:rsidP="00C31097">
                  <w:pP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128F4A58" w14:textId="241D4926" w:rsidR="00CE4153" w:rsidRPr="008109D1" w:rsidRDefault="00CE4153" w:rsidP="00C31097">
                  <w:pPr>
                    <w:jc w:val="center"/>
                    <w:rPr>
                      <w:rFonts w:cs="Calibri"/>
                      <w:color w:val="000000"/>
                      <w:sz w:val="20"/>
                      <w:szCs w:val="20"/>
                    </w:rPr>
                  </w:pPr>
                </w:p>
              </w:tc>
              <w:tc>
                <w:tcPr>
                  <w:tcW w:w="1350" w:type="dxa"/>
                  <w:vMerge/>
                  <w:tcBorders>
                    <w:left w:val="nil"/>
                    <w:right w:val="single" w:sz="4" w:space="0" w:color="auto"/>
                  </w:tcBorders>
                  <w:shd w:val="clear" w:color="auto" w:fill="auto"/>
                  <w:vAlign w:val="center"/>
                  <w:hideMark/>
                </w:tcPr>
                <w:p w14:paraId="1E23C632" w14:textId="46086AEA" w:rsidR="00CE4153" w:rsidRPr="008109D1" w:rsidRDefault="00CE4153" w:rsidP="00C31097">
                  <w:pPr>
                    <w:jc w:val="center"/>
                    <w:rPr>
                      <w:rFonts w:cs="Calibri"/>
                      <w:color w:val="000000"/>
                      <w:sz w:val="20"/>
                      <w:szCs w:val="20"/>
                    </w:rPr>
                  </w:pPr>
                </w:p>
              </w:tc>
              <w:tc>
                <w:tcPr>
                  <w:tcW w:w="1800" w:type="dxa"/>
                  <w:tcBorders>
                    <w:top w:val="nil"/>
                    <w:left w:val="nil"/>
                    <w:bottom w:val="single" w:sz="4" w:space="0" w:color="auto"/>
                    <w:right w:val="single" w:sz="8" w:space="0" w:color="auto"/>
                  </w:tcBorders>
                  <w:shd w:val="clear" w:color="auto" w:fill="auto"/>
                  <w:vAlign w:val="center"/>
                  <w:hideMark/>
                </w:tcPr>
                <w:p w14:paraId="5D7736CB" w14:textId="77777777" w:rsidR="00CE4153" w:rsidRPr="008109D1" w:rsidRDefault="00CE4153" w:rsidP="00C31097">
                  <w:pPr>
                    <w:jc w:val="center"/>
                    <w:rPr>
                      <w:rFonts w:cs="Calibri"/>
                      <w:color w:val="000000"/>
                      <w:sz w:val="20"/>
                      <w:szCs w:val="20"/>
                    </w:rPr>
                  </w:pPr>
                  <w:r w:rsidRPr="008109D1">
                    <w:rPr>
                      <w:rFonts w:cs="Calibri"/>
                      <w:color w:val="000000"/>
                      <w:sz w:val="20"/>
                      <w:szCs w:val="20"/>
                    </w:rPr>
                    <w:t>DEER2017 - D17 v2</w:t>
                  </w:r>
                </w:p>
              </w:tc>
            </w:tr>
            <w:tr w:rsidR="00CE4153" w:rsidRPr="00C31097" w14:paraId="77653219" w14:textId="77777777" w:rsidTr="006D459B">
              <w:trPr>
                <w:trHeight w:val="255"/>
              </w:trPr>
              <w:tc>
                <w:tcPr>
                  <w:tcW w:w="1321" w:type="dxa"/>
                  <w:vMerge/>
                  <w:tcBorders>
                    <w:left w:val="single" w:sz="8" w:space="0" w:color="auto"/>
                    <w:bottom w:val="single" w:sz="8" w:space="0" w:color="auto"/>
                    <w:right w:val="single" w:sz="4" w:space="0" w:color="auto"/>
                  </w:tcBorders>
                  <w:shd w:val="clear" w:color="auto" w:fill="auto"/>
                  <w:vAlign w:val="center"/>
                  <w:hideMark/>
                </w:tcPr>
                <w:p w14:paraId="151248DB" w14:textId="017B7046" w:rsidR="00CE4153" w:rsidRPr="008109D1" w:rsidRDefault="00CE4153" w:rsidP="00C31097">
                  <w:pPr>
                    <w:jc w:val="center"/>
                    <w:rPr>
                      <w:rFonts w:cs="Calibri"/>
                      <w:color w:val="000000"/>
                      <w:sz w:val="20"/>
                      <w:szCs w:val="20"/>
                    </w:rPr>
                  </w:pPr>
                </w:p>
              </w:tc>
              <w:tc>
                <w:tcPr>
                  <w:tcW w:w="1624" w:type="dxa"/>
                  <w:vMerge/>
                  <w:tcBorders>
                    <w:top w:val="nil"/>
                    <w:left w:val="single" w:sz="4" w:space="0" w:color="auto"/>
                    <w:bottom w:val="single" w:sz="8" w:space="0" w:color="000000"/>
                    <w:right w:val="single" w:sz="4" w:space="0" w:color="auto"/>
                  </w:tcBorders>
                  <w:vAlign w:val="center"/>
                  <w:hideMark/>
                </w:tcPr>
                <w:p w14:paraId="7981C874" w14:textId="77777777" w:rsidR="00CE4153" w:rsidRPr="008109D1" w:rsidRDefault="00CE4153" w:rsidP="00C31097">
                  <w:pP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02F4149D" w14:textId="67B65664" w:rsidR="00CE4153" w:rsidRPr="008109D1" w:rsidRDefault="00CE4153" w:rsidP="00C31097">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hideMark/>
                </w:tcPr>
                <w:p w14:paraId="68C771EC" w14:textId="082A3ABF" w:rsidR="00CE4153" w:rsidRPr="008109D1" w:rsidRDefault="00CE4153" w:rsidP="00C31097">
                  <w:pPr>
                    <w:jc w:val="center"/>
                    <w:rPr>
                      <w:rFonts w:cs="Calibri"/>
                      <w:color w:val="000000"/>
                      <w:sz w:val="20"/>
                      <w:szCs w:val="20"/>
                    </w:rPr>
                  </w:pPr>
                </w:p>
              </w:tc>
              <w:tc>
                <w:tcPr>
                  <w:tcW w:w="1800" w:type="dxa"/>
                  <w:tcBorders>
                    <w:top w:val="nil"/>
                    <w:left w:val="nil"/>
                    <w:bottom w:val="single" w:sz="8" w:space="0" w:color="auto"/>
                    <w:right w:val="single" w:sz="8" w:space="0" w:color="auto"/>
                  </w:tcBorders>
                  <w:shd w:val="clear" w:color="auto" w:fill="auto"/>
                  <w:vAlign w:val="center"/>
                  <w:hideMark/>
                </w:tcPr>
                <w:p w14:paraId="466A4EFE" w14:textId="6868AA85" w:rsidR="00CE4153" w:rsidRPr="008109D1" w:rsidRDefault="00CE4153" w:rsidP="00C31097">
                  <w:pPr>
                    <w:jc w:val="center"/>
                    <w:rPr>
                      <w:rFonts w:cs="Calibri"/>
                      <w:color w:val="000000"/>
                      <w:sz w:val="20"/>
                      <w:szCs w:val="20"/>
                    </w:rPr>
                  </w:pPr>
                </w:p>
              </w:tc>
            </w:tr>
          </w:tbl>
          <w:p w14:paraId="003FE265" w14:textId="77777777" w:rsidR="005B70D8" w:rsidRDefault="005B70D8" w:rsidP="0023444F">
            <w:pPr>
              <w:rPr>
                <w:rFonts w:cs="Arial"/>
                <w:sz w:val="20"/>
                <w:szCs w:val="20"/>
              </w:rPr>
            </w:pPr>
          </w:p>
          <w:p w14:paraId="2DDCF32A" w14:textId="77777777" w:rsidR="00F40005" w:rsidRPr="004C35E4" w:rsidRDefault="00F40005" w:rsidP="0023444F">
            <w:pPr>
              <w:rPr>
                <w:rFonts w:cs="Arial"/>
                <w:sz w:val="20"/>
                <w:szCs w:val="20"/>
              </w:rPr>
            </w:pPr>
          </w:p>
        </w:tc>
      </w:tr>
      <w:tr w:rsidR="002D747B" w14:paraId="07C01EDF" w14:textId="77777777" w:rsidTr="009A6CB4">
        <w:trPr>
          <w:cantSplit/>
        </w:trPr>
        <w:tc>
          <w:tcPr>
            <w:tcW w:w="1449" w:type="dxa"/>
            <w:vAlign w:val="center"/>
          </w:tcPr>
          <w:p w14:paraId="37B277A6" w14:textId="77777777" w:rsidR="00B42D64" w:rsidRPr="001D77F7" w:rsidRDefault="00B42D64" w:rsidP="00B42D64">
            <w:pPr>
              <w:rPr>
                <w:b/>
              </w:rPr>
            </w:pPr>
            <w:r w:rsidRPr="001D77F7">
              <w:rPr>
                <w:b/>
              </w:rPr>
              <w:t>1.1 Measure &amp; Baseline Data</w:t>
            </w:r>
          </w:p>
        </w:tc>
        <w:tc>
          <w:tcPr>
            <w:tcW w:w="8716" w:type="dxa"/>
          </w:tcPr>
          <w:p w14:paraId="54A4F3B8" w14:textId="77777777" w:rsidR="00B42D64" w:rsidRDefault="00B42D64" w:rsidP="00F40005">
            <w:pPr>
              <w:jc w:val="center"/>
              <w:rPr>
                <w:rFonts w:cs="Arial"/>
                <w:sz w:val="20"/>
                <w:szCs w:val="20"/>
              </w:rPr>
            </w:pPr>
          </w:p>
          <w:tbl>
            <w:tblPr>
              <w:tblW w:w="7708" w:type="dxa"/>
              <w:tblLook w:val="04A0" w:firstRow="1" w:lastRow="0" w:firstColumn="1" w:lastColumn="0" w:noHBand="0" w:noVBand="1"/>
            </w:tblPr>
            <w:tblGrid>
              <w:gridCol w:w="1408"/>
              <w:gridCol w:w="1620"/>
              <w:gridCol w:w="1350"/>
              <w:gridCol w:w="1620"/>
              <w:gridCol w:w="1710"/>
            </w:tblGrid>
            <w:tr w:rsidR="00F40005" w:rsidRPr="00C31097" w14:paraId="04B67C02" w14:textId="77777777" w:rsidTr="009A6CB4">
              <w:trPr>
                <w:trHeight w:val="315"/>
              </w:trPr>
              <w:tc>
                <w:tcPr>
                  <w:tcW w:w="7708"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726C092" w14:textId="77777777" w:rsidR="00F40005" w:rsidRPr="008109D1" w:rsidRDefault="00F40005" w:rsidP="00F40005">
                  <w:pPr>
                    <w:jc w:val="center"/>
                    <w:rPr>
                      <w:rFonts w:cs="Calibri"/>
                      <w:color w:val="000000"/>
                      <w:sz w:val="20"/>
                      <w:szCs w:val="20"/>
                    </w:rPr>
                  </w:pPr>
                  <w:r w:rsidRPr="008109D1">
                    <w:rPr>
                      <w:rFonts w:cs="Arial"/>
                      <w:color w:val="000000"/>
                      <w:sz w:val="20"/>
                      <w:szCs w:val="20"/>
                    </w:rPr>
                    <w:t>Measure Characteristic</w:t>
                  </w:r>
                </w:p>
              </w:tc>
            </w:tr>
            <w:tr w:rsidR="00440A70" w:rsidRPr="00C31097" w14:paraId="3E98318A" w14:textId="77777777" w:rsidTr="009A6CB4">
              <w:trPr>
                <w:trHeight w:val="420"/>
              </w:trPr>
              <w:tc>
                <w:tcPr>
                  <w:tcW w:w="1408" w:type="dxa"/>
                  <w:tcBorders>
                    <w:top w:val="nil"/>
                    <w:left w:val="single" w:sz="8" w:space="0" w:color="auto"/>
                    <w:bottom w:val="single" w:sz="8" w:space="0" w:color="auto"/>
                    <w:right w:val="single" w:sz="4" w:space="0" w:color="auto"/>
                  </w:tcBorders>
                  <w:shd w:val="clear" w:color="auto" w:fill="auto"/>
                  <w:vAlign w:val="center"/>
                  <w:hideMark/>
                </w:tcPr>
                <w:p w14:paraId="67BFF978" w14:textId="77777777" w:rsidR="00F40005" w:rsidRPr="008109D1" w:rsidRDefault="00F40005" w:rsidP="00F40005">
                  <w:pPr>
                    <w:jc w:val="center"/>
                    <w:rPr>
                      <w:rFonts w:cs="Calibri"/>
                      <w:color w:val="000000"/>
                      <w:sz w:val="20"/>
                      <w:szCs w:val="20"/>
                    </w:rPr>
                  </w:pPr>
                  <w:r w:rsidRPr="008109D1">
                    <w:rPr>
                      <w:rFonts w:cs="Arial"/>
                      <w:color w:val="000000"/>
                      <w:sz w:val="20"/>
                      <w:szCs w:val="20"/>
                    </w:rPr>
                    <w:t>Implement ID</w:t>
                  </w:r>
                </w:p>
              </w:tc>
              <w:tc>
                <w:tcPr>
                  <w:tcW w:w="1620" w:type="dxa"/>
                  <w:tcBorders>
                    <w:top w:val="nil"/>
                    <w:left w:val="nil"/>
                    <w:bottom w:val="single" w:sz="8" w:space="0" w:color="auto"/>
                    <w:right w:val="single" w:sz="4" w:space="0" w:color="auto"/>
                  </w:tcBorders>
                  <w:shd w:val="clear" w:color="auto" w:fill="auto"/>
                  <w:vAlign w:val="center"/>
                  <w:hideMark/>
                </w:tcPr>
                <w:p w14:paraId="4AD258E5" w14:textId="77777777" w:rsidR="00F40005" w:rsidRPr="008109D1" w:rsidRDefault="00F40005" w:rsidP="00F40005">
                  <w:pPr>
                    <w:jc w:val="center"/>
                    <w:rPr>
                      <w:rFonts w:cs="Calibri"/>
                      <w:color w:val="000000"/>
                      <w:sz w:val="20"/>
                      <w:szCs w:val="20"/>
                    </w:rPr>
                  </w:pPr>
                  <w:r w:rsidRPr="008109D1">
                    <w:rPr>
                      <w:rFonts w:cs="Arial"/>
                      <w:color w:val="000000"/>
                      <w:sz w:val="20"/>
                      <w:szCs w:val="20"/>
                    </w:rPr>
                    <w:t>Deer Measure ID</w:t>
                  </w:r>
                </w:p>
              </w:tc>
              <w:tc>
                <w:tcPr>
                  <w:tcW w:w="1350" w:type="dxa"/>
                  <w:tcBorders>
                    <w:top w:val="nil"/>
                    <w:left w:val="nil"/>
                    <w:bottom w:val="single" w:sz="8" w:space="0" w:color="auto"/>
                    <w:right w:val="single" w:sz="4" w:space="0" w:color="auto"/>
                  </w:tcBorders>
                  <w:shd w:val="clear" w:color="auto" w:fill="auto"/>
                  <w:vAlign w:val="center"/>
                  <w:hideMark/>
                </w:tcPr>
                <w:p w14:paraId="02A91D0A" w14:textId="77777777" w:rsidR="00F40005" w:rsidRPr="008109D1" w:rsidRDefault="00F40005" w:rsidP="00F40005">
                  <w:pPr>
                    <w:jc w:val="center"/>
                    <w:rPr>
                      <w:rFonts w:cs="Calibri"/>
                      <w:color w:val="000000"/>
                      <w:sz w:val="20"/>
                      <w:szCs w:val="20"/>
                    </w:rPr>
                  </w:pPr>
                  <w:r w:rsidRPr="008109D1">
                    <w:rPr>
                      <w:rFonts w:cs="Calibri"/>
                      <w:color w:val="000000"/>
                      <w:sz w:val="20"/>
                      <w:szCs w:val="20"/>
                    </w:rPr>
                    <w:t>Building Type</w:t>
                  </w:r>
                </w:p>
              </w:tc>
              <w:tc>
                <w:tcPr>
                  <w:tcW w:w="1620" w:type="dxa"/>
                  <w:tcBorders>
                    <w:top w:val="nil"/>
                    <w:left w:val="nil"/>
                    <w:bottom w:val="single" w:sz="8" w:space="0" w:color="auto"/>
                    <w:right w:val="single" w:sz="4" w:space="0" w:color="auto"/>
                  </w:tcBorders>
                  <w:shd w:val="clear" w:color="auto" w:fill="auto"/>
                  <w:vAlign w:val="center"/>
                  <w:hideMark/>
                </w:tcPr>
                <w:p w14:paraId="2CCBC5ED" w14:textId="77777777" w:rsidR="00F40005" w:rsidRPr="008109D1" w:rsidRDefault="00F40005" w:rsidP="00F40005">
                  <w:pPr>
                    <w:jc w:val="center"/>
                    <w:rPr>
                      <w:rFonts w:cs="Calibri"/>
                      <w:color w:val="000000"/>
                      <w:sz w:val="20"/>
                      <w:szCs w:val="20"/>
                    </w:rPr>
                  </w:pPr>
                  <w:r w:rsidRPr="008109D1">
                    <w:rPr>
                      <w:rFonts w:cs="Arial"/>
                      <w:color w:val="000000"/>
                      <w:sz w:val="20"/>
                      <w:szCs w:val="20"/>
                    </w:rPr>
                    <w:t>DEER Baseline</w:t>
                  </w:r>
                </w:p>
              </w:tc>
              <w:tc>
                <w:tcPr>
                  <w:tcW w:w="1710" w:type="dxa"/>
                  <w:tcBorders>
                    <w:top w:val="nil"/>
                    <w:left w:val="nil"/>
                    <w:bottom w:val="single" w:sz="8" w:space="0" w:color="auto"/>
                    <w:right w:val="single" w:sz="8" w:space="0" w:color="auto"/>
                  </w:tcBorders>
                  <w:shd w:val="clear" w:color="auto" w:fill="auto"/>
                  <w:vAlign w:val="center"/>
                  <w:hideMark/>
                </w:tcPr>
                <w:p w14:paraId="2074DEE8" w14:textId="77777777" w:rsidR="00F40005" w:rsidRPr="008109D1" w:rsidRDefault="00F40005" w:rsidP="00F40005">
                  <w:pPr>
                    <w:jc w:val="center"/>
                    <w:rPr>
                      <w:rFonts w:cs="Calibri"/>
                      <w:color w:val="000000"/>
                      <w:sz w:val="20"/>
                      <w:szCs w:val="20"/>
                    </w:rPr>
                  </w:pPr>
                  <w:proofErr w:type="spellStart"/>
                  <w:r w:rsidRPr="008109D1">
                    <w:rPr>
                      <w:rFonts w:cs="Calibri"/>
                      <w:color w:val="000000"/>
                      <w:sz w:val="20"/>
                      <w:szCs w:val="20"/>
                    </w:rPr>
                    <w:t>MeasureAppType</w:t>
                  </w:r>
                  <w:proofErr w:type="spellEnd"/>
                </w:p>
              </w:tc>
            </w:tr>
            <w:tr w:rsidR="00AB27EA" w:rsidRPr="00C31097" w14:paraId="4DA152EE" w14:textId="77777777" w:rsidTr="001850C2">
              <w:trPr>
                <w:trHeight w:val="223"/>
              </w:trPr>
              <w:tc>
                <w:tcPr>
                  <w:tcW w:w="1408" w:type="dxa"/>
                  <w:vMerge w:val="restart"/>
                  <w:tcBorders>
                    <w:top w:val="nil"/>
                    <w:left w:val="single" w:sz="8" w:space="0" w:color="auto"/>
                    <w:right w:val="single" w:sz="4" w:space="0" w:color="auto"/>
                  </w:tcBorders>
                  <w:shd w:val="clear" w:color="auto" w:fill="auto"/>
                  <w:vAlign w:val="center"/>
                  <w:hideMark/>
                </w:tcPr>
                <w:p w14:paraId="6FB14B01" w14:textId="26A25550" w:rsidR="00AB27EA" w:rsidRPr="008109D1" w:rsidRDefault="00AB27EA" w:rsidP="00F40005">
                  <w:pPr>
                    <w:jc w:val="center"/>
                    <w:rPr>
                      <w:rFonts w:cs="Calibri"/>
                      <w:color w:val="000000"/>
                      <w:sz w:val="20"/>
                      <w:szCs w:val="20"/>
                    </w:rPr>
                  </w:pPr>
                  <w:r>
                    <w:rPr>
                      <w:rFonts w:cs="Calibri"/>
                      <w:color w:val="000000"/>
                      <w:sz w:val="20"/>
                      <w:szCs w:val="20"/>
                    </w:rPr>
                    <w:t xml:space="preserve">Measure 1 - </w:t>
                  </w:r>
                  <w:r w:rsidRPr="008109D1">
                    <w:rPr>
                      <w:rFonts w:cs="Calibri"/>
                      <w:color w:val="000000"/>
                      <w:sz w:val="20"/>
                      <w:szCs w:val="20"/>
                    </w:rPr>
                    <w:t>462510</w:t>
                  </w:r>
                </w:p>
              </w:tc>
              <w:tc>
                <w:tcPr>
                  <w:tcW w:w="1620" w:type="dxa"/>
                  <w:vMerge w:val="restart"/>
                  <w:tcBorders>
                    <w:top w:val="nil"/>
                    <w:left w:val="single" w:sz="4" w:space="0" w:color="auto"/>
                    <w:bottom w:val="single" w:sz="8" w:space="0" w:color="000000"/>
                    <w:right w:val="single" w:sz="4" w:space="0" w:color="auto"/>
                  </w:tcBorders>
                  <w:shd w:val="clear" w:color="auto" w:fill="auto"/>
                  <w:vAlign w:val="center"/>
                  <w:hideMark/>
                </w:tcPr>
                <w:p w14:paraId="7F975753" w14:textId="77777777" w:rsidR="00AB27EA" w:rsidRPr="008109D1" w:rsidRDefault="00AB27EA" w:rsidP="00F40005">
                  <w:pPr>
                    <w:jc w:val="center"/>
                    <w:rPr>
                      <w:rFonts w:cs="Calibri"/>
                      <w:color w:val="000000"/>
                      <w:sz w:val="20"/>
                      <w:szCs w:val="20"/>
                    </w:rPr>
                  </w:pPr>
                  <w:r w:rsidRPr="008109D1">
                    <w:rPr>
                      <w:rFonts w:cs="Calibri"/>
                      <w:color w:val="000000"/>
                      <w:sz w:val="20"/>
                      <w:szCs w:val="20"/>
                    </w:rPr>
                    <w:t>Res-GasFurnace-AFUE92</w:t>
                  </w:r>
                </w:p>
              </w:tc>
              <w:tc>
                <w:tcPr>
                  <w:tcW w:w="1350" w:type="dxa"/>
                  <w:vMerge w:val="restart"/>
                  <w:tcBorders>
                    <w:top w:val="nil"/>
                    <w:left w:val="nil"/>
                    <w:right w:val="single" w:sz="4" w:space="0" w:color="auto"/>
                  </w:tcBorders>
                  <w:shd w:val="clear" w:color="auto" w:fill="auto"/>
                  <w:vAlign w:val="center"/>
                </w:tcPr>
                <w:p w14:paraId="6BFE15FE" w14:textId="0DF1E25A" w:rsidR="00AB27EA" w:rsidRPr="008109D1" w:rsidRDefault="00AB27EA" w:rsidP="00F40005">
                  <w:pPr>
                    <w:jc w:val="center"/>
                    <w:rPr>
                      <w:rFonts w:cs="Calibri"/>
                      <w:color w:val="000000"/>
                      <w:sz w:val="20"/>
                      <w:szCs w:val="20"/>
                    </w:rPr>
                  </w:pPr>
                  <w:r>
                    <w:rPr>
                      <w:rFonts w:cs="Calibri"/>
                      <w:color w:val="000000"/>
                      <w:sz w:val="20"/>
                      <w:szCs w:val="20"/>
                    </w:rPr>
                    <w:t>Res</w:t>
                  </w:r>
                </w:p>
              </w:tc>
              <w:tc>
                <w:tcPr>
                  <w:tcW w:w="1620" w:type="dxa"/>
                  <w:vMerge w:val="restart"/>
                  <w:tcBorders>
                    <w:top w:val="nil"/>
                    <w:left w:val="nil"/>
                    <w:right w:val="single" w:sz="4" w:space="0" w:color="auto"/>
                  </w:tcBorders>
                  <w:shd w:val="clear" w:color="auto" w:fill="auto"/>
                  <w:vAlign w:val="center"/>
                  <w:hideMark/>
                </w:tcPr>
                <w:p w14:paraId="0D9EA172" w14:textId="0ACA9EBA" w:rsidR="00AB27EA" w:rsidRPr="008109D1" w:rsidRDefault="00AB27EA" w:rsidP="00F40005">
                  <w:pPr>
                    <w:jc w:val="center"/>
                    <w:rPr>
                      <w:rFonts w:cs="Calibri"/>
                      <w:color w:val="000000"/>
                      <w:sz w:val="20"/>
                      <w:szCs w:val="20"/>
                    </w:rPr>
                  </w:pPr>
                  <w:r w:rsidRPr="008109D1">
                    <w:rPr>
                      <w:rFonts w:cs="Arial"/>
                      <w:color w:val="000000"/>
                      <w:sz w:val="20"/>
                      <w:szCs w:val="20"/>
                    </w:rPr>
                    <w:t>Code / Standard</w:t>
                  </w:r>
                </w:p>
              </w:tc>
              <w:tc>
                <w:tcPr>
                  <w:tcW w:w="1710" w:type="dxa"/>
                  <w:tcBorders>
                    <w:top w:val="nil"/>
                    <w:left w:val="nil"/>
                    <w:bottom w:val="single" w:sz="4" w:space="0" w:color="auto"/>
                    <w:right w:val="single" w:sz="8" w:space="0" w:color="auto"/>
                  </w:tcBorders>
                  <w:shd w:val="clear" w:color="auto" w:fill="auto"/>
                  <w:hideMark/>
                </w:tcPr>
                <w:p w14:paraId="19A442BF" w14:textId="029DB265" w:rsidR="00AB27EA" w:rsidRPr="002F1C04" w:rsidRDefault="00AB27EA" w:rsidP="00F40005">
                  <w:pPr>
                    <w:jc w:val="center"/>
                  </w:pPr>
                </w:p>
              </w:tc>
            </w:tr>
            <w:tr w:rsidR="00AB27EA" w:rsidRPr="00C31097" w14:paraId="39AF503B" w14:textId="77777777" w:rsidTr="001850C2">
              <w:trPr>
                <w:trHeight w:val="223"/>
              </w:trPr>
              <w:tc>
                <w:tcPr>
                  <w:tcW w:w="1408" w:type="dxa"/>
                  <w:vMerge/>
                  <w:tcBorders>
                    <w:left w:val="single" w:sz="8" w:space="0" w:color="auto"/>
                    <w:right w:val="single" w:sz="4" w:space="0" w:color="auto"/>
                  </w:tcBorders>
                  <w:shd w:val="clear" w:color="auto" w:fill="auto"/>
                  <w:noWrap/>
                  <w:vAlign w:val="center"/>
                </w:tcPr>
                <w:p w14:paraId="40F7617B" w14:textId="2AAD9D2D"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6D639089" w14:textId="77777777" w:rsidR="00AB27EA" w:rsidRPr="008109D1" w:rsidRDefault="00AB27EA" w:rsidP="00F40005">
                  <w:pPr>
                    <w:jc w:val="center"/>
                    <w:rPr>
                      <w:rFonts w:cs="Calibri"/>
                      <w:color w:val="000000"/>
                      <w:sz w:val="20"/>
                      <w:szCs w:val="20"/>
                    </w:rPr>
                  </w:pPr>
                </w:p>
              </w:tc>
              <w:tc>
                <w:tcPr>
                  <w:tcW w:w="1350" w:type="dxa"/>
                  <w:vMerge/>
                  <w:tcBorders>
                    <w:left w:val="nil"/>
                    <w:right w:val="single" w:sz="4" w:space="0" w:color="auto"/>
                  </w:tcBorders>
                  <w:shd w:val="clear" w:color="auto" w:fill="auto"/>
                  <w:vAlign w:val="center"/>
                </w:tcPr>
                <w:p w14:paraId="1FACC458" w14:textId="5604B71E" w:rsidR="00AB27EA" w:rsidRPr="008109D1" w:rsidRDefault="00AB27EA" w:rsidP="00F40005">
                  <w:pPr>
                    <w:jc w:val="center"/>
                    <w:rPr>
                      <w:rFonts w:cs="Calibri"/>
                      <w:color w:val="000000"/>
                      <w:sz w:val="20"/>
                      <w:szCs w:val="20"/>
                    </w:rPr>
                  </w:pPr>
                </w:p>
              </w:tc>
              <w:tc>
                <w:tcPr>
                  <w:tcW w:w="1620" w:type="dxa"/>
                  <w:vMerge/>
                  <w:tcBorders>
                    <w:left w:val="nil"/>
                    <w:right w:val="single" w:sz="4" w:space="0" w:color="auto"/>
                  </w:tcBorders>
                  <w:shd w:val="clear" w:color="auto" w:fill="auto"/>
                  <w:vAlign w:val="center"/>
                  <w:hideMark/>
                </w:tcPr>
                <w:p w14:paraId="41F51F16" w14:textId="5633582D" w:rsidR="00AB27EA" w:rsidRPr="008109D1" w:rsidRDefault="00AB27EA" w:rsidP="00F40005">
                  <w:pPr>
                    <w:jc w:val="center"/>
                    <w:rPr>
                      <w:rFonts w:cs="Calibri"/>
                      <w:color w:val="000000"/>
                      <w:sz w:val="20"/>
                      <w:szCs w:val="20"/>
                    </w:rPr>
                  </w:pPr>
                </w:p>
              </w:tc>
              <w:tc>
                <w:tcPr>
                  <w:tcW w:w="1710" w:type="dxa"/>
                  <w:tcBorders>
                    <w:top w:val="nil"/>
                    <w:left w:val="nil"/>
                    <w:bottom w:val="single" w:sz="4" w:space="0" w:color="auto"/>
                    <w:right w:val="single" w:sz="8" w:space="0" w:color="auto"/>
                  </w:tcBorders>
                  <w:shd w:val="clear" w:color="auto" w:fill="auto"/>
                  <w:hideMark/>
                </w:tcPr>
                <w:p w14:paraId="73B674E4" w14:textId="77777777" w:rsidR="00AB27EA" w:rsidRPr="002F1C04" w:rsidRDefault="00AB27EA" w:rsidP="00F40005">
                  <w:pPr>
                    <w:jc w:val="center"/>
                  </w:pPr>
                  <w:r w:rsidRPr="008109D1">
                    <w:rPr>
                      <w:rFonts w:cs="Arial"/>
                      <w:color w:val="000000"/>
                      <w:sz w:val="20"/>
                      <w:szCs w:val="20"/>
                    </w:rPr>
                    <w:t>ROB</w:t>
                  </w:r>
                </w:p>
              </w:tc>
            </w:tr>
            <w:tr w:rsidR="00AB27EA" w:rsidRPr="00C31097" w14:paraId="27028568" w14:textId="77777777" w:rsidTr="001850C2">
              <w:trPr>
                <w:trHeight w:val="232"/>
              </w:trPr>
              <w:tc>
                <w:tcPr>
                  <w:tcW w:w="1408" w:type="dxa"/>
                  <w:vMerge/>
                  <w:tcBorders>
                    <w:left w:val="single" w:sz="8" w:space="0" w:color="auto"/>
                    <w:bottom w:val="single" w:sz="8" w:space="0" w:color="auto"/>
                    <w:right w:val="single" w:sz="4" w:space="0" w:color="auto"/>
                  </w:tcBorders>
                  <w:shd w:val="clear" w:color="auto" w:fill="auto"/>
                  <w:vAlign w:val="center"/>
                </w:tcPr>
                <w:p w14:paraId="15A5B596" w14:textId="61737FB1"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11340048" w14:textId="77777777" w:rsidR="00AB27EA" w:rsidRPr="008109D1" w:rsidRDefault="00AB27EA" w:rsidP="00F40005">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tcPr>
                <w:p w14:paraId="12FB73E5" w14:textId="4F8E809B" w:rsidR="00AB27EA" w:rsidRPr="008109D1" w:rsidRDefault="00AB27EA" w:rsidP="00F40005">
                  <w:pPr>
                    <w:jc w:val="center"/>
                    <w:rPr>
                      <w:rFonts w:cs="Calibri"/>
                      <w:color w:val="000000"/>
                      <w:sz w:val="20"/>
                      <w:szCs w:val="20"/>
                    </w:rPr>
                  </w:pPr>
                </w:p>
              </w:tc>
              <w:tc>
                <w:tcPr>
                  <w:tcW w:w="1620" w:type="dxa"/>
                  <w:vMerge/>
                  <w:tcBorders>
                    <w:left w:val="nil"/>
                    <w:bottom w:val="single" w:sz="8" w:space="0" w:color="auto"/>
                    <w:right w:val="single" w:sz="4" w:space="0" w:color="auto"/>
                  </w:tcBorders>
                  <w:shd w:val="clear" w:color="auto" w:fill="auto"/>
                  <w:vAlign w:val="center"/>
                  <w:hideMark/>
                </w:tcPr>
                <w:p w14:paraId="5399D256" w14:textId="0E29095C" w:rsidR="00AB27EA" w:rsidRPr="008109D1" w:rsidRDefault="00AB27EA" w:rsidP="00F40005">
                  <w:pPr>
                    <w:jc w:val="center"/>
                    <w:rPr>
                      <w:rFonts w:cs="Calibri"/>
                      <w:color w:val="000000"/>
                      <w:sz w:val="20"/>
                      <w:szCs w:val="20"/>
                    </w:rPr>
                  </w:pPr>
                </w:p>
              </w:tc>
              <w:tc>
                <w:tcPr>
                  <w:tcW w:w="1710" w:type="dxa"/>
                  <w:tcBorders>
                    <w:top w:val="nil"/>
                    <w:left w:val="nil"/>
                    <w:bottom w:val="single" w:sz="8" w:space="0" w:color="auto"/>
                    <w:right w:val="single" w:sz="8" w:space="0" w:color="auto"/>
                  </w:tcBorders>
                  <w:shd w:val="clear" w:color="auto" w:fill="auto"/>
                  <w:hideMark/>
                </w:tcPr>
                <w:p w14:paraId="4F270548" w14:textId="60682D58" w:rsidR="00AB27EA" w:rsidRPr="002F1C04" w:rsidRDefault="00AB27EA" w:rsidP="00F40005">
                  <w:pPr>
                    <w:jc w:val="center"/>
                  </w:pPr>
                </w:p>
              </w:tc>
            </w:tr>
            <w:tr w:rsidR="00AB27EA" w:rsidRPr="00C31097" w14:paraId="415B06F9" w14:textId="77777777" w:rsidTr="00F05C6A">
              <w:trPr>
                <w:trHeight w:val="178"/>
              </w:trPr>
              <w:tc>
                <w:tcPr>
                  <w:tcW w:w="1408" w:type="dxa"/>
                  <w:vMerge w:val="restart"/>
                  <w:tcBorders>
                    <w:top w:val="nil"/>
                    <w:left w:val="single" w:sz="8" w:space="0" w:color="auto"/>
                    <w:right w:val="single" w:sz="4" w:space="0" w:color="auto"/>
                  </w:tcBorders>
                  <w:shd w:val="clear" w:color="auto" w:fill="auto"/>
                  <w:vAlign w:val="center"/>
                  <w:hideMark/>
                </w:tcPr>
                <w:p w14:paraId="26C4AFFD" w14:textId="1329E3EE" w:rsidR="00AB27EA" w:rsidRPr="008109D1" w:rsidRDefault="00AB27EA" w:rsidP="00F40005">
                  <w:pPr>
                    <w:jc w:val="center"/>
                    <w:rPr>
                      <w:rFonts w:cs="Calibri"/>
                      <w:color w:val="000000"/>
                      <w:sz w:val="20"/>
                      <w:szCs w:val="20"/>
                    </w:rPr>
                  </w:pPr>
                  <w:r>
                    <w:rPr>
                      <w:rFonts w:cs="Calibri"/>
                      <w:color w:val="000000"/>
                      <w:sz w:val="20"/>
                      <w:szCs w:val="20"/>
                    </w:rPr>
                    <w:t>Measure 2 -</w:t>
                  </w:r>
                  <w:r w:rsidRPr="008109D1">
                    <w:rPr>
                      <w:rFonts w:cs="Calibri"/>
                      <w:color w:val="000000"/>
                      <w:sz w:val="20"/>
                      <w:szCs w:val="20"/>
                    </w:rPr>
                    <w:t>462513</w:t>
                  </w:r>
                </w:p>
              </w:tc>
              <w:tc>
                <w:tcPr>
                  <w:tcW w:w="1620" w:type="dxa"/>
                  <w:vMerge w:val="restart"/>
                  <w:tcBorders>
                    <w:top w:val="nil"/>
                    <w:left w:val="single" w:sz="4" w:space="0" w:color="auto"/>
                    <w:bottom w:val="single" w:sz="8" w:space="0" w:color="000000"/>
                    <w:right w:val="single" w:sz="4" w:space="0" w:color="auto"/>
                  </w:tcBorders>
                  <w:shd w:val="clear" w:color="auto" w:fill="auto"/>
                  <w:vAlign w:val="center"/>
                  <w:hideMark/>
                </w:tcPr>
                <w:p w14:paraId="62A04224" w14:textId="77777777" w:rsidR="00AB27EA" w:rsidRPr="008109D1" w:rsidRDefault="00AB27EA" w:rsidP="00F40005">
                  <w:pPr>
                    <w:jc w:val="center"/>
                    <w:rPr>
                      <w:rFonts w:cs="Calibri"/>
                      <w:color w:val="000000"/>
                      <w:sz w:val="20"/>
                      <w:szCs w:val="20"/>
                    </w:rPr>
                  </w:pPr>
                  <w:r w:rsidRPr="008109D1">
                    <w:rPr>
                      <w:rFonts w:cs="Calibri"/>
                      <w:color w:val="000000"/>
                      <w:sz w:val="20"/>
                      <w:szCs w:val="20"/>
                    </w:rPr>
                    <w:t>Res-GasFurnace-AFUE95</w:t>
                  </w:r>
                </w:p>
              </w:tc>
              <w:tc>
                <w:tcPr>
                  <w:tcW w:w="1350" w:type="dxa"/>
                  <w:vMerge w:val="restart"/>
                  <w:tcBorders>
                    <w:top w:val="nil"/>
                    <w:left w:val="nil"/>
                    <w:right w:val="single" w:sz="4" w:space="0" w:color="auto"/>
                  </w:tcBorders>
                  <w:shd w:val="clear" w:color="auto" w:fill="auto"/>
                  <w:vAlign w:val="center"/>
                </w:tcPr>
                <w:p w14:paraId="391658FD" w14:textId="5815D42C" w:rsidR="00AB27EA" w:rsidRPr="008109D1" w:rsidRDefault="00AB27EA" w:rsidP="00F40005">
                  <w:pPr>
                    <w:jc w:val="center"/>
                    <w:rPr>
                      <w:rFonts w:cs="Calibri"/>
                      <w:color w:val="000000"/>
                      <w:sz w:val="20"/>
                      <w:szCs w:val="20"/>
                    </w:rPr>
                  </w:pPr>
                  <w:r>
                    <w:rPr>
                      <w:rFonts w:cs="Calibri"/>
                      <w:color w:val="000000"/>
                      <w:sz w:val="20"/>
                      <w:szCs w:val="20"/>
                    </w:rPr>
                    <w:t>Res</w:t>
                  </w:r>
                </w:p>
              </w:tc>
              <w:tc>
                <w:tcPr>
                  <w:tcW w:w="1620" w:type="dxa"/>
                  <w:vMerge w:val="restart"/>
                  <w:tcBorders>
                    <w:top w:val="nil"/>
                    <w:left w:val="nil"/>
                    <w:right w:val="single" w:sz="4" w:space="0" w:color="auto"/>
                  </w:tcBorders>
                  <w:shd w:val="clear" w:color="auto" w:fill="auto"/>
                  <w:vAlign w:val="center"/>
                  <w:hideMark/>
                </w:tcPr>
                <w:p w14:paraId="2960A9B1" w14:textId="10895906" w:rsidR="00AB27EA" w:rsidRPr="008109D1" w:rsidRDefault="00AB27EA" w:rsidP="00F40005">
                  <w:pPr>
                    <w:jc w:val="center"/>
                    <w:rPr>
                      <w:rFonts w:cs="Calibri"/>
                      <w:color w:val="000000"/>
                      <w:sz w:val="20"/>
                      <w:szCs w:val="20"/>
                    </w:rPr>
                  </w:pPr>
                  <w:r w:rsidRPr="008109D1">
                    <w:rPr>
                      <w:rFonts w:cs="Arial"/>
                      <w:color w:val="000000"/>
                      <w:sz w:val="20"/>
                      <w:szCs w:val="20"/>
                    </w:rPr>
                    <w:t>Code / Standard</w:t>
                  </w:r>
                </w:p>
              </w:tc>
              <w:tc>
                <w:tcPr>
                  <w:tcW w:w="1710" w:type="dxa"/>
                  <w:tcBorders>
                    <w:top w:val="nil"/>
                    <w:left w:val="nil"/>
                    <w:bottom w:val="single" w:sz="4" w:space="0" w:color="auto"/>
                    <w:right w:val="single" w:sz="8" w:space="0" w:color="auto"/>
                  </w:tcBorders>
                  <w:shd w:val="clear" w:color="auto" w:fill="auto"/>
                  <w:hideMark/>
                </w:tcPr>
                <w:p w14:paraId="7C5AC596" w14:textId="17A06DFA" w:rsidR="00AB27EA" w:rsidRPr="002F1C04" w:rsidRDefault="00AB27EA" w:rsidP="00F40005">
                  <w:pPr>
                    <w:jc w:val="center"/>
                  </w:pPr>
                </w:p>
              </w:tc>
            </w:tr>
            <w:tr w:rsidR="00AB27EA" w:rsidRPr="00C31097" w14:paraId="16DCECCB" w14:textId="77777777" w:rsidTr="00F05C6A">
              <w:trPr>
                <w:trHeight w:val="187"/>
              </w:trPr>
              <w:tc>
                <w:tcPr>
                  <w:tcW w:w="1408" w:type="dxa"/>
                  <w:vMerge/>
                  <w:tcBorders>
                    <w:left w:val="single" w:sz="8" w:space="0" w:color="auto"/>
                    <w:right w:val="single" w:sz="4" w:space="0" w:color="auto"/>
                  </w:tcBorders>
                  <w:shd w:val="clear" w:color="auto" w:fill="auto"/>
                  <w:noWrap/>
                  <w:vAlign w:val="center"/>
                </w:tcPr>
                <w:p w14:paraId="5C27657B" w14:textId="26F699EB"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6E6D1684" w14:textId="77777777" w:rsidR="00AB27EA" w:rsidRPr="008109D1" w:rsidRDefault="00AB27EA" w:rsidP="00F40005">
                  <w:pPr>
                    <w:jc w:val="center"/>
                    <w:rPr>
                      <w:rFonts w:cs="Calibri"/>
                      <w:color w:val="000000"/>
                      <w:sz w:val="20"/>
                      <w:szCs w:val="20"/>
                    </w:rPr>
                  </w:pPr>
                </w:p>
              </w:tc>
              <w:tc>
                <w:tcPr>
                  <w:tcW w:w="1350" w:type="dxa"/>
                  <w:vMerge/>
                  <w:tcBorders>
                    <w:left w:val="nil"/>
                    <w:right w:val="single" w:sz="4" w:space="0" w:color="auto"/>
                  </w:tcBorders>
                  <w:shd w:val="clear" w:color="auto" w:fill="auto"/>
                  <w:vAlign w:val="center"/>
                </w:tcPr>
                <w:p w14:paraId="6A05C94D" w14:textId="3BF599B0" w:rsidR="00AB27EA" w:rsidRPr="008109D1" w:rsidRDefault="00AB27EA" w:rsidP="00F40005">
                  <w:pPr>
                    <w:jc w:val="center"/>
                    <w:rPr>
                      <w:rFonts w:cs="Calibri"/>
                      <w:color w:val="000000"/>
                      <w:sz w:val="20"/>
                      <w:szCs w:val="20"/>
                    </w:rPr>
                  </w:pPr>
                </w:p>
              </w:tc>
              <w:tc>
                <w:tcPr>
                  <w:tcW w:w="1620" w:type="dxa"/>
                  <w:vMerge/>
                  <w:tcBorders>
                    <w:left w:val="nil"/>
                    <w:right w:val="single" w:sz="4" w:space="0" w:color="auto"/>
                  </w:tcBorders>
                  <w:shd w:val="clear" w:color="auto" w:fill="auto"/>
                  <w:vAlign w:val="center"/>
                  <w:hideMark/>
                </w:tcPr>
                <w:p w14:paraId="7B0878D8" w14:textId="2D722F32" w:rsidR="00AB27EA" w:rsidRPr="008109D1" w:rsidRDefault="00AB27EA" w:rsidP="00F40005">
                  <w:pPr>
                    <w:jc w:val="center"/>
                    <w:rPr>
                      <w:rFonts w:cs="Calibri"/>
                      <w:color w:val="000000"/>
                      <w:sz w:val="20"/>
                      <w:szCs w:val="20"/>
                    </w:rPr>
                  </w:pPr>
                </w:p>
              </w:tc>
              <w:tc>
                <w:tcPr>
                  <w:tcW w:w="1710" w:type="dxa"/>
                  <w:tcBorders>
                    <w:top w:val="nil"/>
                    <w:left w:val="nil"/>
                    <w:bottom w:val="single" w:sz="4" w:space="0" w:color="auto"/>
                    <w:right w:val="single" w:sz="8" w:space="0" w:color="auto"/>
                  </w:tcBorders>
                  <w:shd w:val="clear" w:color="auto" w:fill="auto"/>
                  <w:hideMark/>
                </w:tcPr>
                <w:p w14:paraId="0F10E990" w14:textId="77777777" w:rsidR="00AB27EA" w:rsidRPr="002F1C04" w:rsidRDefault="00AB27EA" w:rsidP="00F40005">
                  <w:pPr>
                    <w:jc w:val="center"/>
                  </w:pPr>
                  <w:r w:rsidRPr="008109D1">
                    <w:rPr>
                      <w:rFonts w:cs="Arial"/>
                      <w:color w:val="000000"/>
                      <w:sz w:val="20"/>
                      <w:szCs w:val="20"/>
                    </w:rPr>
                    <w:t>ROB</w:t>
                  </w:r>
                </w:p>
              </w:tc>
            </w:tr>
            <w:tr w:rsidR="00AB27EA" w:rsidRPr="00C31097" w14:paraId="6675561D" w14:textId="77777777" w:rsidTr="00F05C6A">
              <w:trPr>
                <w:trHeight w:val="196"/>
              </w:trPr>
              <w:tc>
                <w:tcPr>
                  <w:tcW w:w="1408" w:type="dxa"/>
                  <w:vMerge/>
                  <w:tcBorders>
                    <w:left w:val="single" w:sz="8" w:space="0" w:color="auto"/>
                    <w:bottom w:val="single" w:sz="8" w:space="0" w:color="auto"/>
                    <w:right w:val="single" w:sz="4" w:space="0" w:color="auto"/>
                  </w:tcBorders>
                  <w:shd w:val="clear" w:color="auto" w:fill="auto"/>
                  <w:vAlign w:val="center"/>
                </w:tcPr>
                <w:p w14:paraId="3474D30E" w14:textId="5D7BA66F"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00D1997B" w14:textId="77777777" w:rsidR="00AB27EA" w:rsidRPr="008109D1" w:rsidRDefault="00AB27EA" w:rsidP="00F40005">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tcPr>
                <w:p w14:paraId="03F9AB8D" w14:textId="49DB6BE6" w:rsidR="00AB27EA" w:rsidRPr="008109D1" w:rsidRDefault="00AB27EA" w:rsidP="00F40005">
                  <w:pPr>
                    <w:jc w:val="center"/>
                    <w:rPr>
                      <w:rFonts w:cs="Calibri"/>
                      <w:color w:val="000000"/>
                      <w:sz w:val="20"/>
                      <w:szCs w:val="20"/>
                    </w:rPr>
                  </w:pPr>
                </w:p>
              </w:tc>
              <w:tc>
                <w:tcPr>
                  <w:tcW w:w="1620" w:type="dxa"/>
                  <w:vMerge/>
                  <w:tcBorders>
                    <w:left w:val="nil"/>
                    <w:bottom w:val="single" w:sz="8" w:space="0" w:color="auto"/>
                    <w:right w:val="single" w:sz="4" w:space="0" w:color="auto"/>
                  </w:tcBorders>
                  <w:shd w:val="clear" w:color="auto" w:fill="auto"/>
                  <w:vAlign w:val="center"/>
                  <w:hideMark/>
                </w:tcPr>
                <w:p w14:paraId="1C36E59E" w14:textId="04C292D5" w:rsidR="00AB27EA" w:rsidRPr="008109D1" w:rsidRDefault="00AB27EA" w:rsidP="00F40005">
                  <w:pPr>
                    <w:jc w:val="center"/>
                    <w:rPr>
                      <w:rFonts w:cs="Calibri"/>
                      <w:color w:val="000000"/>
                      <w:sz w:val="20"/>
                      <w:szCs w:val="20"/>
                    </w:rPr>
                  </w:pPr>
                </w:p>
              </w:tc>
              <w:tc>
                <w:tcPr>
                  <w:tcW w:w="1710" w:type="dxa"/>
                  <w:tcBorders>
                    <w:top w:val="nil"/>
                    <w:left w:val="nil"/>
                    <w:bottom w:val="single" w:sz="8" w:space="0" w:color="auto"/>
                    <w:right w:val="single" w:sz="8" w:space="0" w:color="auto"/>
                  </w:tcBorders>
                  <w:shd w:val="clear" w:color="auto" w:fill="auto"/>
                  <w:hideMark/>
                </w:tcPr>
                <w:p w14:paraId="01138F83" w14:textId="00A7BD9B" w:rsidR="00AB27EA" w:rsidRPr="002F1C04" w:rsidRDefault="00AB27EA" w:rsidP="00F40005">
                  <w:pPr>
                    <w:jc w:val="center"/>
                  </w:pPr>
                </w:p>
              </w:tc>
            </w:tr>
            <w:tr w:rsidR="00AB27EA" w:rsidRPr="00C31097" w14:paraId="13CDC203" w14:textId="77777777" w:rsidTr="005C546C">
              <w:trPr>
                <w:trHeight w:val="205"/>
              </w:trPr>
              <w:tc>
                <w:tcPr>
                  <w:tcW w:w="1408" w:type="dxa"/>
                  <w:vMerge w:val="restart"/>
                  <w:tcBorders>
                    <w:top w:val="nil"/>
                    <w:left w:val="single" w:sz="8" w:space="0" w:color="auto"/>
                    <w:right w:val="single" w:sz="4" w:space="0" w:color="auto"/>
                  </w:tcBorders>
                  <w:shd w:val="clear" w:color="auto" w:fill="auto"/>
                  <w:vAlign w:val="center"/>
                  <w:hideMark/>
                </w:tcPr>
                <w:p w14:paraId="3E757D9A" w14:textId="4DD02485" w:rsidR="00AB27EA" w:rsidRPr="008109D1" w:rsidRDefault="00AB27EA" w:rsidP="00F40005">
                  <w:pPr>
                    <w:jc w:val="center"/>
                    <w:rPr>
                      <w:rFonts w:cs="Calibri"/>
                      <w:color w:val="000000"/>
                      <w:sz w:val="20"/>
                      <w:szCs w:val="20"/>
                    </w:rPr>
                  </w:pPr>
                  <w:r>
                    <w:rPr>
                      <w:rFonts w:cs="Calibri"/>
                      <w:color w:val="000000"/>
                      <w:sz w:val="20"/>
                      <w:szCs w:val="20"/>
                    </w:rPr>
                    <w:t>Measure 3 -</w:t>
                  </w:r>
                  <w:r w:rsidRPr="008109D1">
                    <w:rPr>
                      <w:rFonts w:cs="Calibri"/>
                      <w:color w:val="000000"/>
                      <w:sz w:val="20"/>
                      <w:szCs w:val="20"/>
                    </w:rPr>
                    <w:t>462514</w:t>
                  </w:r>
                  <w:r w:rsidR="001D0BEA">
                    <w:rPr>
                      <w:rFonts w:cs="Calibri"/>
                      <w:color w:val="000000"/>
                      <w:sz w:val="20"/>
                      <w:szCs w:val="20"/>
                    </w:rPr>
                    <w:t xml:space="preserve"> &amp; 462819</w:t>
                  </w:r>
                </w:p>
              </w:tc>
              <w:tc>
                <w:tcPr>
                  <w:tcW w:w="1620" w:type="dxa"/>
                  <w:vMerge w:val="restart"/>
                  <w:tcBorders>
                    <w:top w:val="nil"/>
                    <w:left w:val="single" w:sz="4" w:space="0" w:color="auto"/>
                    <w:bottom w:val="single" w:sz="8" w:space="0" w:color="000000"/>
                    <w:right w:val="single" w:sz="4" w:space="0" w:color="auto"/>
                  </w:tcBorders>
                  <w:shd w:val="clear" w:color="auto" w:fill="auto"/>
                  <w:vAlign w:val="center"/>
                  <w:hideMark/>
                </w:tcPr>
                <w:p w14:paraId="3C604939" w14:textId="77777777" w:rsidR="00AB27EA" w:rsidRPr="008109D1" w:rsidRDefault="00AB27EA" w:rsidP="00F40005">
                  <w:pPr>
                    <w:jc w:val="center"/>
                    <w:rPr>
                      <w:rFonts w:cs="Calibri"/>
                      <w:color w:val="000000"/>
                      <w:sz w:val="20"/>
                      <w:szCs w:val="20"/>
                    </w:rPr>
                  </w:pPr>
                  <w:r w:rsidRPr="008109D1">
                    <w:rPr>
                      <w:rFonts w:cs="Calibri"/>
                      <w:color w:val="000000"/>
                      <w:sz w:val="20"/>
                      <w:szCs w:val="20"/>
                    </w:rPr>
                    <w:t>Res-GasFurnace-AFUE96</w:t>
                  </w:r>
                </w:p>
              </w:tc>
              <w:tc>
                <w:tcPr>
                  <w:tcW w:w="1350" w:type="dxa"/>
                  <w:vMerge w:val="restart"/>
                  <w:tcBorders>
                    <w:top w:val="nil"/>
                    <w:left w:val="nil"/>
                    <w:right w:val="single" w:sz="4" w:space="0" w:color="auto"/>
                  </w:tcBorders>
                  <w:shd w:val="clear" w:color="auto" w:fill="auto"/>
                  <w:vAlign w:val="center"/>
                </w:tcPr>
                <w:p w14:paraId="54E5E619" w14:textId="3AA2FF6C" w:rsidR="00AB27EA" w:rsidRPr="008109D1" w:rsidRDefault="00AB27EA" w:rsidP="00F40005">
                  <w:pPr>
                    <w:jc w:val="center"/>
                    <w:rPr>
                      <w:rFonts w:cs="Calibri"/>
                      <w:color w:val="000000"/>
                      <w:sz w:val="20"/>
                      <w:szCs w:val="20"/>
                    </w:rPr>
                  </w:pPr>
                  <w:r>
                    <w:rPr>
                      <w:rFonts w:cs="Calibri"/>
                      <w:color w:val="000000"/>
                      <w:sz w:val="20"/>
                      <w:szCs w:val="20"/>
                    </w:rPr>
                    <w:t>Res</w:t>
                  </w:r>
                </w:p>
              </w:tc>
              <w:tc>
                <w:tcPr>
                  <w:tcW w:w="1620" w:type="dxa"/>
                  <w:vMerge w:val="restart"/>
                  <w:tcBorders>
                    <w:top w:val="nil"/>
                    <w:left w:val="nil"/>
                    <w:right w:val="single" w:sz="4" w:space="0" w:color="auto"/>
                  </w:tcBorders>
                  <w:shd w:val="clear" w:color="auto" w:fill="auto"/>
                  <w:vAlign w:val="center"/>
                  <w:hideMark/>
                </w:tcPr>
                <w:p w14:paraId="12B9377C" w14:textId="220A5B0B" w:rsidR="00AB27EA" w:rsidRPr="008109D1" w:rsidRDefault="00AB27EA" w:rsidP="00F40005">
                  <w:pPr>
                    <w:jc w:val="center"/>
                    <w:rPr>
                      <w:rFonts w:cs="Calibri"/>
                      <w:color w:val="000000"/>
                      <w:sz w:val="20"/>
                      <w:szCs w:val="20"/>
                    </w:rPr>
                  </w:pPr>
                  <w:r w:rsidRPr="008109D1">
                    <w:rPr>
                      <w:rFonts w:cs="Arial"/>
                      <w:color w:val="000000"/>
                      <w:sz w:val="20"/>
                      <w:szCs w:val="20"/>
                    </w:rPr>
                    <w:t>Code / Standard</w:t>
                  </w:r>
                </w:p>
              </w:tc>
              <w:tc>
                <w:tcPr>
                  <w:tcW w:w="1710" w:type="dxa"/>
                  <w:tcBorders>
                    <w:top w:val="nil"/>
                    <w:left w:val="nil"/>
                    <w:bottom w:val="single" w:sz="4" w:space="0" w:color="auto"/>
                    <w:right w:val="single" w:sz="8" w:space="0" w:color="auto"/>
                  </w:tcBorders>
                  <w:shd w:val="clear" w:color="auto" w:fill="auto"/>
                  <w:vAlign w:val="center"/>
                  <w:hideMark/>
                </w:tcPr>
                <w:p w14:paraId="669240D3" w14:textId="3E21961C" w:rsidR="00AB27EA" w:rsidRPr="008109D1" w:rsidRDefault="00AB27EA" w:rsidP="00F40005">
                  <w:pPr>
                    <w:jc w:val="center"/>
                    <w:rPr>
                      <w:rFonts w:cs="Calibri"/>
                      <w:color w:val="000000"/>
                      <w:sz w:val="20"/>
                      <w:szCs w:val="20"/>
                    </w:rPr>
                  </w:pPr>
                </w:p>
              </w:tc>
            </w:tr>
            <w:tr w:rsidR="00AB27EA" w:rsidRPr="00C31097" w14:paraId="1191C03F" w14:textId="77777777" w:rsidTr="005C546C">
              <w:trPr>
                <w:trHeight w:val="115"/>
              </w:trPr>
              <w:tc>
                <w:tcPr>
                  <w:tcW w:w="1408" w:type="dxa"/>
                  <w:vMerge/>
                  <w:tcBorders>
                    <w:left w:val="single" w:sz="8" w:space="0" w:color="auto"/>
                    <w:right w:val="single" w:sz="4" w:space="0" w:color="auto"/>
                  </w:tcBorders>
                  <w:shd w:val="clear" w:color="auto" w:fill="auto"/>
                  <w:noWrap/>
                  <w:vAlign w:val="center"/>
                </w:tcPr>
                <w:p w14:paraId="57989B05" w14:textId="6BACD6E6"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147FF5EC" w14:textId="77777777" w:rsidR="00AB27EA" w:rsidRPr="008109D1" w:rsidRDefault="00AB27EA" w:rsidP="00F40005">
                  <w:pPr>
                    <w:jc w:val="center"/>
                    <w:rPr>
                      <w:rFonts w:cs="Calibri"/>
                      <w:color w:val="000000"/>
                      <w:sz w:val="20"/>
                      <w:szCs w:val="20"/>
                    </w:rPr>
                  </w:pPr>
                </w:p>
              </w:tc>
              <w:tc>
                <w:tcPr>
                  <w:tcW w:w="1350" w:type="dxa"/>
                  <w:vMerge/>
                  <w:tcBorders>
                    <w:left w:val="nil"/>
                    <w:right w:val="single" w:sz="4" w:space="0" w:color="auto"/>
                  </w:tcBorders>
                  <w:shd w:val="clear" w:color="auto" w:fill="auto"/>
                  <w:vAlign w:val="center"/>
                </w:tcPr>
                <w:p w14:paraId="0C0A0FD1" w14:textId="61454CDF" w:rsidR="00AB27EA" w:rsidRPr="008109D1" w:rsidRDefault="00AB27EA" w:rsidP="00F40005">
                  <w:pPr>
                    <w:jc w:val="center"/>
                    <w:rPr>
                      <w:rFonts w:cs="Calibri"/>
                      <w:color w:val="000000"/>
                      <w:sz w:val="20"/>
                      <w:szCs w:val="20"/>
                    </w:rPr>
                  </w:pPr>
                </w:p>
              </w:tc>
              <w:tc>
                <w:tcPr>
                  <w:tcW w:w="1620" w:type="dxa"/>
                  <w:vMerge/>
                  <w:tcBorders>
                    <w:left w:val="nil"/>
                    <w:right w:val="single" w:sz="4" w:space="0" w:color="auto"/>
                  </w:tcBorders>
                  <w:shd w:val="clear" w:color="auto" w:fill="auto"/>
                  <w:vAlign w:val="center"/>
                  <w:hideMark/>
                </w:tcPr>
                <w:p w14:paraId="790D776D" w14:textId="64AB7DEA" w:rsidR="00AB27EA" w:rsidRPr="008109D1" w:rsidRDefault="00AB27EA" w:rsidP="00F40005">
                  <w:pPr>
                    <w:jc w:val="center"/>
                    <w:rPr>
                      <w:rFonts w:cs="Calibri"/>
                      <w:color w:val="000000"/>
                      <w:sz w:val="20"/>
                      <w:szCs w:val="20"/>
                    </w:rPr>
                  </w:pPr>
                </w:p>
              </w:tc>
              <w:tc>
                <w:tcPr>
                  <w:tcW w:w="1710" w:type="dxa"/>
                  <w:tcBorders>
                    <w:top w:val="nil"/>
                    <w:left w:val="nil"/>
                    <w:bottom w:val="single" w:sz="4" w:space="0" w:color="auto"/>
                    <w:right w:val="single" w:sz="8" w:space="0" w:color="auto"/>
                  </w:tcBorders>
                  <w:shd w:val="clear" w:color="auto" w:fill="auto"/>
                  <w:hideMark/>
                </w:tcPr>
                <w:p w14:paraId="14AB7AC6" w14:textId="77777777" w:rsidR="00AB27EA" w:rsidRPr="002F1C04" w:rsidRDefault="00AB27EA" w:rsidP="00F40005">
                  <w:pPr>
                    <w:jc w:val="center"/>
                  </w:pPr>
                  <w:r w:rsidRPr="008109D1">
                    <w:rPr>
                      <w:rFonts w:cs="Arial"/>
                      <w:color w:val="000000"/>
                      <w:sz w:val="20"/>
                      <w:szCs w:val="20"/>
                    </w:rPr>
                    <w:t>ROB</w:t>
                  </w:r>
                </w:p>
              </w:tc>
            </w:tr>
            <w:tr w:rsidR="00AB27EA" w:rsidRPr="00C31097" w14:paraId="004679FD" w14:textId="77777777" w:rsidTr="005C546C">
              <w:trPr>
                <w:trHeight w:val="240"/>
              </w:trPr>
              <w:tc>
                <w:tcPr>
                  <w:tcW w:w="1408" w:type="dxa"/>
                  <w:vMerge/>
                  <w:tcBorders>
                    <w:left w:val="single" w:sz="8" w:space="0" w:color="auto"/>
                    <w:bottom w:val="single" w:sz="8" w:space="0" w:color="auto"/>
                    <w:right w:val="single" w:sz="4" w:space="0" w:color="auto"/>
                  </w:tcBorders>
                  <w:shd w:val="clear" w:color="auto" w:fill="auto"/>
                  <w:vAlign w:val="center"/>
                </w:tcPr>
                <w:p w14:paraId="1F88DAD9" w14:textId="60BD28F1" w:rsidR="00AB27EA" w:rsidRPr="008109D1" w:rsidRDefault="00AB27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604085E1" w14:textId="77777777" w:rsidR="00AB27EA" w:rsidRPr="008109D1" w:rsidRDefault="00AB27EA" w:rsidP="00F40005">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tcPr>
                <w:p w14:paraId="265CFAC8" w14:textId="18815733" w:rsidR="00AB27EA" w:rsidRPr="008109D1" w:rsidRDefault="00AB27EA" w:rsidP="00F40005">
                  <w:pPr>
                    <w:jc w:val="center"/>
                    <w:rPr>
                      <w:rFonts w:cs="Calibri"/>
                      <w:color w:val="000000"/>
                      <w:sz w:val="20"/>
                      <w:szCs w:val="20"/>
                    </w:rPr>
                  </w:pPr>
                </w:p>
              </w:tc>
              <w:tc>
                <w:tcPr>
                  <w:tcW w:w="1620" w:type="dxa"/>
                  <w:vMerge/>
                  <w:tcBorders>
                    <w:left w:val="nil"/>
                    <w:bottom w:val="single" w:sz="8" w:space="0" w:color="auto"/>
                    <w:right w:val="single" w:sz="4" w:space="0" w:color="auto"/>
                  </w:tcBorders>
                  <w:shd w:val="clear" w:color="auto" w:fill="auto"/>
                  <w:vAlign w:val="center"/>
                  <w:hideMark/>
                </w:tcPr>
                <w:p w14:paraId="580D8FAA" w14:textId="69ADB381" w:rsidR="00AB27EA" w:rsidRPr="008109D1" w:rsidRDefault="00AB27EA" w:rsidP="00F40005">
                  <w:pPr>
                    <w:jc w:val="center"/>
                    <w:rPr>
                      <w:rFonts w:cs="Calibri"/>
                      <w:color w:val="000000"/>
                      <w:sz w:val="20"/>
                      <w:szCs w:val="20"/>
                    </w:rPr>
                  </w:pPr>
                </w:p>
              </w:tc>
              <w:tc>
                <w:tcPr>
                  <w:tcW w:w="1710" w:type="dxa"/>
                  <w:tcBorders>
                    <w:top w:val="nil"/>
                    <w:left w:val="nil"/>
                    <w:bottom w:val="single" w:sz="8" w:space="0" w:color="auto"/>
                    <w:right w:val="single" w:sz="8" w:space="0" w:color="auto"/>
                  </w:tcBorders>
                  <w:shd w:val="clear" w:color="auto" w:fill="auto"/>
                  <w:hideMark/>
                </w:tcPr>
                <w:p w14:paraId="1B4D51C4" w14:textId="29888FDC" w:rsidR="00AB27EA" w:rsidRPr="002F1C04" w:rsidRDefault="00AB27EA" w:rsidP="00F40005">
                  <w:pPr>
                    <w:jc w:val="center"/>
                  </w:pPr>
                </w:p>
              </w:tc>
            </w:tr>
            <w:tr w:rsidR="001D0BEA" w:rsidRPr="00C31097" w14:paraId="66EBFB6E" w14:textId="77777777" w:rsidTr="007F2A4B">
              <w:trPr>
                <w:trHeight w:val="255"/>
              </w:trPr>
              <w:tc>
                <w:tcPr>
                  <w:tcW w:w="1408" w:type="dxa"/>
                  <w:vMerge w:val="restart"/>
                  <w:tcBorders>
                    <w:top w:val="nil"/>
                    <w:left w:val="single" w:sz="8" w:space="0" w:color="auto"/>
                    <w:right w:val="single" w:sz="4" w:space="0" w:color="auto"/>
                  </w:tcBorders>
                  <w:shd w:val="clear" w:color="auto" w:fill="auto"/>
                  <w:vAlign w:val="center"/>
                  <w:hideMark/>
                </w:tcPr>
                <w:p w14:paraId="2AC291B7" w14:textId="6A9AFBB2" w:rsidR="001D0BEA" w:rsidRPr="008109D1" w:rsidRDefault="001D0BEA" w:rsidP="00F40005">
                  <w:pPr>
                    <w:jc w:val="center"/>
                    <w:rPr>
                      <w:rFonts w:cs="Calibri"/>
                      <w:color w:val="000000"/>
                      <w:sz w:val="20"/>
                      <w:szCs w:val="20"/>
                    </w:rPr>
                  </w:pPr>
                  <w:r>
                    <w:rPr>
                      <w:rFonts w:cs="Calibri"/>
                      <w:color w:val="000000"/>
                      <w:sz w:val="20"/>
                      <w:szCs w:val="20"/>
                    </w:rPr>
                    <w:t>Measure 4 -</w:t>
                  </w:r>
                  <w:r w:rsidRPr="008109D1">
                    <w:rPr>
                      <w:rFonts w:cs="Calibri"/>
                      <w:color w:val="000000"/>
                      <w:sz w:val="20"/>
                      <w:szCs w:val="20"/>
                    </w:rPr>
                    <w:t>462515</w:t>
                  </w:r>
                  <w:r>
                    <w:rPr>
                      <w:rFonts w:cs="Calibri"/>
                      <w:color w:val="000000"/>
                      <w:sz w:val="20"/>
                      <w:szCs w:val="20"/>
                    </w:rPr>
                    <w:t xml:space="preserve"> &amp; 462765</w:t>
                  </w:r>
                </w:p>
              </w:tc>
              <w:tc>
                <w:tcPr>
                  <w:tcW w:w="1620" w:type="dxa"/>
                  <w:vMerge w:val="restart"/>
                  <w:tcBorders>
                    <w:top w:val="nil"/>
                    <w:left w:val="single" w:sz="4" w:space="0" w:color="auto"/>
                    <w:bottom w:val="single" w:sz="8" w:space="0" w:color="000000"/>
                    <w:right w:val="single" w:sz="4" w:space="0" w:color="auto"/>
                  </w:tcBorders>
                  <w:shd w:val="clear" w:color="auto" w:fill="auto"/>
                  <w:vAlign w:val="center"/>
                  <w:hideMark/>
                </w:tcPr>
                <w:p w14:paraId="055CD2CE" w14:textId="77777777" w:rsidR="001D0BEA" w:rsidRPr="008109D1" w:rsidRDefault="001D0BEA" w:rsidP="00F40005">
                  <w:pPr>
                    <w:jc w:val="center"/>
                    <w:rPr>
                      <w:rFonts w:cs="Calibri"/>
                      <w:color w:val="000000"/>
                      <w:sz w:val="20"/>
                      <w:szCs w:val="20"/>
                    </w:rPr>
                  </w:pPr>
                  <w:r w:rsidRPr="008109D1">
                    <w:rPr>
                      <w:rFonts w:cs="Calibri"/>
                      <w:color w:val="000000"/>
                      <w:sz w:val="20"/>
                      <w:szCs w:val="20"/>
                    </w:rPr>
                    <w:t>Res-GasFurnace-AFUE97</w:t>
                  </w:r>
                </w:p>
              </w:tc>
              <w:tc>
                <w:tcPr>
                  <w:tcW w:w="1350" w:type="dxa"/>
                  <w:vMerge w:val="restart"/>
                  <w:tcBorders>
                    <w:top w:val="nil"/>
                    <w:left w:val="nil"/>
                    <w:right w:val="single" w:sz="4" w:space="0" w:color="auto"/>
                  </w:tcBorders>
                  <w:shd w:val="clear" w:color="auto" w:fill="auto"/>
                  <w:vAlign w:val="center"/>
                </w:tcPr>
                <w:p w14:paraId="550FE8F9" w14:textId="56D51CA7" w:rsidR="001D0BEA" w:rsidRPr="008109D1" w:rsidRDefault="001D0BEA" w:rsidP="00F40005">
                  <w:pPr>
                    <w:jc w:val="center"/>
                    <w:rPr>
                      <w:rFonts w:cs="Calibri"/>
                      <w:color w:val="000000"/>
                      <w:sz w:val="20"/>
                      <w:szCs w:val="20"/>
                    </w:rPr>
                  </w:pPr>
                  <w:r>
                    <w:rPr>
                      <w:rFonts w:cs="Calibri"/>
                      <w:color w:val="000000"/>
                      <w:sz w:val="20"/>
                      <w:szCs w:val="20"/>
                    </w:rPr>
                    <w:t>Res</w:t>
                  </w:r>
                </w:p>
              </w:tc>
              <w:tc>
                <w:tcPr>
                  <w:tcW w:w="1620" w:type="dxa"/>
                  <w:vMerge w:val="restart"/>
                  <w:tcBorders>
                    <w:top w:val="nil"/>
                    <w:left w:val="nil"/>
                    <w:right w:val="single" w:sz="4" w:space="0" w:color="auto"/>
                  </w:tcBorders>
                  <w:shd w:val="clear" w:color="auto" w:fill="auto"/>
                  <w:vAlign w:val="center"/>
                  <w:hideMark/>
                </w:tcPr>
                <w:p w14:paraId="5E6984E0" w14:textId="6774CE7B" w:rsidR="001D0BEA" w:rsidRPr="008109D1" w:rsidRDefault="001D0BEA" w:rsidP="00F40005">
                  <w:pPr>
                    <w:jc w:val="center"/>
                    <w:rPr>
                      <w:rFonts w:cs="Calibri"/>
                      <w:color w:val="000000"/>
                      <w:sz w:val="20"/>
                      <w:szCs w:val="20"/>
                    </w:rPr>
                  </w:pPr>
                  <w:r w:rsidRPr="008109D1">
                    <w:rPr>
                      <w:rFonts w:cs="Arial"/>
                      <w:color w:val="000000"/>
                      <w:sz w:val="20"/>
                      <w:szCs w:val="20"/>
                    </w:rPr>
                    <w:t>Code / Standard</w:t>
                  </w:r>
                </w:p>
              </w:tc>
              <w:tc>
                <w:tcPr>
                  <w:tcW w:w="1710" w:type="dxa"/>
                  <w:tcBorders>
                    <w:top w:val="nil"/>
                    <w:left w:val="nil"/>
                    <w:bottom w:val="single" w:sz="4" w:space="0" w:color="auto"/>
                    <w:right w:val="single" w:sz="8" w:space="0" w:color="auto"/>
                  </w:tcBorders>
                  <w:shd w:val="clear" w:color="auto" w:fill="auto"/>
                  <w:hideMark/>
                </w:tcPr>
                <w:p w14:paraId="111B7F36" w14:textId="7703A823" w:rsidR="001D0BEA" w:rsidRPr="002F1C04" w:rsidRDefault="001D0BEA" w:rsidP="00F40005">
                  <w:pPr>
                    <w:jc w:val="center"/>
                  </w:pPr>
                </w:p>
              </w:tc>
            </w:tr>
            <w:tr w:rsidR="001D0BEA" w:rsidRPr="00C31097" w14:paraId="51366415" w14:textId="77777777" w:rsidTr="007F2A4B">
              <w:trPr>
                <w:trHeight w:val="115"/>
              </w:trPr>
              <w:tc>
                <w:tcPr>
                  <w:tcW w:w="1408" w:type="dxa"/>
                  <w:vMerge/>
                  <w:tcBorders>
                    <w:left w:val="single" w:sz="8" w:space="0" w:color="auto"/>
                    <w:right w:val="single" w:sz="4" w:space="0" w:color="auto"/>
                  </w:tcBorders>
                  <w:shd w:val="clear" w:color="auto" w:fill="auto"/>
                  <w:noWrap/>
                  <w:vAlign w:val="center"/>
                </w:tcPr>
                <w:p w14:paraId="06198960" w14:textId="53D89B43" w:rsidR="001D0BEA" w:rsidRPr="008109D1" w:rsidRDefault="001D0B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1CB7D642" w14:textId="77777777" w:rsidR="001D0BEA" w:rsidRPr="008109D1" w:rsidRDefault="001D0BEA" w:rsidP="00F40005">
                  <w:pPr>
                    <w:jc w:val="center"/>
                    <w:rPr>
                      <w:rFonts w:cs="Calibri"/>
                      <w:color w:val="000000"/>
                      <w:sz w:val="20"/>
                      <w:szCs w:val="20"/>
                    </w:rPr>
                  </w:pPr>
                </w:p>
              </w:tc>
              <w:tc>
                <w:tcPr>
                  <w:tcW w:w="1350" w:type="dxa"/>
                  <w:vMerge/>
                  <w:tcBorders>
                    <w:left w:val="nil"/>
                    <w:right w:val="single" w:sz="4" w:space="0" w:color="auto"/>
                  </w:tcBorders>
                  <w:shd w:val="clear" w:color="auto" w:fill="auto"/>
                  <w:vAlign w:val="center"/>
                </w:tcPr>
                <w:p w14:paraId="53A36629" w14:textId="3C7104E2" w:rsidR="001D0BEA" w:rsidRPr="008109D1" w:rsidRDefault="001D0BEA" w:rsidP="00F40005">
                  <w:pPr>
                    <w:jc w:val="center"/>
                    <w:rPr>
                      <w:rFonts w:cs="Calibri"/>
                      <w:color w:val="000000"/>
                      <w:sz w:val="20"/>
                      <w:szCs w:val="20"/>
                    </w:rPr>
                  </w:pPr>
                </w:p>
              </w:tc>
              <w:tc>
                <w:tcPr>
                  <w:tcW w:w="1620" w:type="dxa"/>
                  <w:vMerge/>
                  <w:tcBorders>
                    <w:left w:val="nil"/>
                    <w:right w:val="single" w:sz="4" w:space="0" w:color="auto"/>
                  </w:tcBorders>
                  <w:shd w:val="clear" w:color="auto" w:fill="auto"/>
                  <w:vAlign w:val="center"/>
                  <w:hideMark/>
                </w:tcPr>
                <w:p w14:paraId="3E9317F9" w14:textId="416F574C" w:rsidR="001D0BEA" w:rsidRPr="008109D1" w:rsidRDefault="001D0BEA" w:rsidP="00F40005">
                  <w:pPr>
                    <w:jc w:val="center"/>
                    <w:rPr>
                      <w:rFonts w:cs="Calibri"/>
                      <w:color w:val="000000"/>
                      <w:sz w:val="20"/>
                      <w:szCs w:val="20"/>
                    </w:rPr>
                  </w:pPr>
                </w:p>
              </w:tc>
              <w:tc>
                <w:tcPr>
                  <w:tcW w:w="1710" w:type="dxa"/>
                  <w:tcBorders>
                    <w:top w:val="nil"/>
                    <w:left w:val="nil"/>
                    <w:bottom w:val="single" w:sz="4" w:space="0" w:color="auto"/>
                    <w:right w:val="single" w:sz="8" w:space="0" w:color="auto"/>
                  </w:tcBorders>
                  <w:shd w:val="clear" w:color="auto" w:fill="auto"/>
                  <w:hideMark/>
                </w:tcPr>
                <w:p w14:paraId="2C0B8692" w14:textId="77777777" w:rsidR="001D0BEA" w:rsidRPr="002F1C04" w:rsidRDefault="001D0BEA" w:rsidP="00F40005">
                  <w:pPr>
                    <w:jc w:val="center"/>
                  </w:pPr>
                  <w:r w:rsidRPr="008109D1">
                    <w:rPr>
                      <w:rFonts w:cs="Arial"/>
                      <w:color w:val="000000"/>
                      <w:sz w:val="20"/>
                      <w:szCs w:val="20"/>
                    </w:rPr>
                    <w:t>ROB</w:t>
                  </w:r>
                </w:p>
              </w:tc>
            </w:tr>
            <w:tr w:rsidR="001D0BEA" w:rsidRPr="00C31097" w14:paraId="530F0C55" w14:textId="77777777" w:rsidTr="007F2A4B">
              <w:trPr>
                <w:trHeight w:val="255"/>
              </w:trPr>
              <w:tc>
                <w:tcPr>
                  <w:tcW w:w="1408" w:type="dxa"/>
                  <w:vMerge/>
                  <w:tcBorders>
                    <w:left w:val="single" w:sz="8" w:space="0" w:color="auto"/>
                    <w:bottom w:val="single" w:sz="8" w:space="0" w:color="auto"/>
                    <w:right w:val="single" w:sz="4" w:space="0" w:color="auto"/>
                  </w:tcBorders>
                  <w:shd w:val="clear" w:color="auto" w:fill="auto"/>
                  <w:vAlign w:val="center"/>
                </w:tcPr>
                <w:p w14:paraId="2EAA59B0" w14:textId="37C940E4" w:rsidR="001D0BEA" w:rsidRPr="008109D1" w:rsidRDefault="001D0BEA" w:rsidP="00F40005">
                  <w:pPr>
                    <w:jc w:val="center"/>
                    <w:rPr>
                      <w:rFonts w:cs="Calibri"/>
                      <w:color w:val="000000"/>
                      <w:sz w:val="20"/>
                      <w:szCs w:val="20"/>
                    </w:rPr>
                  </w:pPr>
                </w:p>
              </w:tc>
              <w:tc>
                <w:tcPr>
                  <w:tcW w:w="1620" w:type="dxa"/>
                  <w:vMerge/>
                  <w:tcBorders>
                    <w:top w:val="nil"/>
                    <w:left w:val="single" w:sz="4" w:space="0" w:color="auto"/>
                    <w:bottom w:val="single" w:sz="8" w:space="0" w:color="000000"/>
                    <w:right w:val="single" w:sz="4" w:space="0" w:color="auto"/>
                  </w:tcBorders>
                  <w:vAlign w:val="center"/>
                  <w:hideMark/>
                </w:tcPr>
                <w:p w14:paraId="583F8988" w14:textId="77777777" w:rsidR="001D0BEA" w:rsidRPr="008109D1" w:rsidRDefault="001D0BEA" w:rsidP="00F40005">
                  <w:pPr>
                    <w:jc w:val="center"/>
                    <w:rPr>
                      <w:rFonts w:cs="Calibri"/>
                      <w:color w:val="000000"/>
                      <w:sz w:val="20"/>
                      <w:szCs w:val="20"/>
                    </w:rPr>
                  </w:pPr>
                </w:p>
              </w:tc>
              <w:tc>
                <w:tcPr>
                  <w:tcW w:w="1350" w:type="dxa"/>
                  <w:vMerge/>
                  <w:tcBorders>
                    <w:left w:val="nil"/>
                    <w:bottom w:val="single" w:sz="8" w:space="0" w:color="auto"/>
                    <w:right w:val="single" w:sz="4" w:space="0" w:color="auto"/>
                  </w:tcBorders>
                  <w:shd w:val="clear" w:color="auto" w:fill="auto"/>
                  <w:vAlign w:val="center"/>
                </w:tcPr>
                <w:p w14:paraId="188C0305" w14:textId="5021D6DE" w:rsidR="001D0BEA" w:rsidRPr="008109D1" w:rsidRDefault="001D0BEA" w:rsidP="00F40005">
                  <w:pPr>
                    <w:jc w:val="center"/>
                    <w:rPr>
                      <w:rFonts w:cs="Calibri"/>
                      <w:color w:val="000000"/>
                      <w:sz w:val="20"/>
                      <w:szCs w:val="20"/>
                    </w:rPr>
                  </w:pPr>
                </w:p>
              </w:tc>
              <w:tc>
                <w:tcPr>
                  <w:tcW w:w="1620" w:type="dxa"/>
                  <w:vMerge/>
                  <w:tcBorders>
                    <w:left w:val="nil"/>
                    <w:bottom w:val="single" w:sz="8" w:space="0" w:color="auto"/>
                    <w:right w:val="single" w:sz="4" w:space="0" w:color="auto"/>
                  </w:tcBorders>
                  <w:shd w:val="clear" w:color="auto" w:fill="auto"/>
                  <w:vAlign w:val="center"/>
                  <w:hideMark/>
                </w:tcPr>
                <w:p w14:paraId="4E5C9DC6" w14:textId="052B92E8" w:rsidR="001D0BEA" w:rsidRPr="008109D1" w:rsidRDefault="001D0BEA" w:rsidP="00F40005">
                  <w:pPr>
                    <w:jc w:val="center"/>
                    <w:rPr>
                      <w:rFonts w:cs="Calibri"/>
                      <w:color w:val="000000"/>
                      <w:sz w:val="20"/>
                      <w:szCs w:val="20"/>
                    </w:rPr>
                  </w:pPr>
                </w:p>
              </w:tc>
              <w:tc>
                <w:tcPr>
                  <w:tcW w:w="1710" w:type="dxa"/>
                  <w:tcBorders>
                    <w:top w:val="nil"/>
                    <w:left w:val="nil"/>
                    <w:bottom w:val="single" w:sz="8" w:space="0" w:color="auto"/>
                    <w:right w:val="single" w:sz="8" w:space="0" w:color="auto"/>
                  </w:tcBorders>
                  <w:shd w:val="clear" w:color="auto" w:fill="auto"/>
                  <w:hideMark/>
                </w:tcPr>
                <w:p w14:paraId="521D8F4B" w14:textId="62562FEA" w:rsidR="001D0BEA" w:rsidRPr="002F1C04" w:rsidRDefault="001D0BEA" w:rsidP="00F40005">
                  <w:pPr>
                    <w:jc w:val="center"/>
                  </w:pPr>
                </w:p>
              </w:tc>
            </w:tr>
          </w:tbl>
          <w:p w14:paraId="0358FBCA" w14:textId="77777777" w:rsidR="00F40005" w:rsidRPr="00241A1F" w:rsidRDefault="00F40005" w:rsidP="00F40005">
            <w:pPr>
              <w:jc w:val="center"/>
              <w:rPr>
                <w:rFonts w:cs="Arial"/>
                <w:sz w:val="20"/>
                <w:szCs w:val="20"/>
              </w:rPr>
            </w:pPr>
          </w:p>
        </w:tc>
      </w:tr>
      <w:tr w:rsidR="002D747B" w14:paraId="3AA04AA4" w14:textId="77777777" w:rsidTr="009A6CB4">
        <w:trPr>
          <w:cantSplit/>
        </w:trPr>
        <w:tc>
          <w:tcPr>
            <w:tcW w:w="1449" w:type="dxa"/>
            <w:vAlign w:val="center"/>
          </w:tcPr>
          <w:p w14:paraId="706D041C" w14:textId="77777777" w:rsidR="00B42D64" w:rsidRPr="001D77F7" w:rsidRDefault="00B42D64" w:rsidP="00B42D64">
            <w:pPr>
              <w:rPr>
                <w:b/>
              </w:rPr>
            </w:pPr>
            <w:r w:rsidRPr="001D77F7">
              <w:rPr>
                <w:b/>
              </w:rPr>
              <w:t xml:space="preserve">1.2 Technical Description </w:t>
            </w:r>
          </w:p>
        </w:tc>
        <w:tc>
          <w:tcPr>
            <w:tcW w:w="8716" w:type="dxa"/>
          </w:tcPr>
          <w:p w14:paraId="2143A1BB" w14:textId="77777777" w:rsidR="00B42D64" w:rsidRPr="008109D1" w:rsidRDefault="00B42D64" w:rsidP="00B42D64">
            <w:pPr>
              <w:pStyle w:val="Reminders"/>
              <w:tabs>
                <w:tab w:val="num" w:pos="360"/>
              </w:tabs>
              <w:rPr>
                <w:rFonts w:asciiTheme="minorHAnsi" w:hAnsiTheme="minorHAnsi"/>
                <w:i w:val="0"/>
                <w:color w:val="auto"/>
                <w:sz w:val="20"/>
                <w:szCs w:val="20"/>
              </w:rPr>
            </w:pPr>
            <w:r w:rsidRPr="008109D1">
              <w:rPr>
                <w:rFonts w:asciiTheme="minorHAnsi" w:hAnsiTheme="minorHAnsi"/>
                <w:i w:val="0"/>
                <w:color w:val="auto"/>
                <w:sz w:val="20"/>
                <w:szCs w:val="20"/>
              </w:rPr>
              <w:t xml:space="preserve">Per cited per </w:t>
            </w:r>
            <w:r w:rsidR="00203631" w:rsidRPr="008109D1">
              <w:rPr>
                <w:rFonts w:asciiTheme="minorHAnsi" w:hAnsiTheme="minorHAnsi"/>
                <w:i w:val="0"/>
                <w:color w:val="auto"/>
                <w:sz w:val="20"/>
                <w:szCs w:val="20"/>
              </w:rPr>
              <w:t xml:space="preserve">WPSCGREHC130115A-Rev04_Res_HE Furnaces </w:t>
            </w:r>
            <w:r w:rsidRPr="008109D1">
              <w:rPr>
                <w:rFonts w:asciiTheme="minorHAnsi" w:hAnsiTheme="minorHAnsi"/>
                <w:i w:val="0"/>
                <w:color w:val="auto"/>
                <w:sz w:val="20"/>
                <w:szCs w:val="20"/>
              </w:rPr>
              <w:t>workpaper</w:t>
            </w:r>
          </w:p>
        </w:tc>
      </w:tr>
      <w:tr w:rsidR="002D747B" w:rsidRPr="008775D7" w14:paraId="317F2690" w14:textId="77777777" w:rsidTr="009A6CB4">
        <w:trPr>
          <w:cantSplit/>
        </w:trPr>
        <w:tc>
          <w:tcPr>
            <w:tcW w:w="1449" w:type="dxa"/>
          </w:tcPr>
          <w:p w14:paraId="325C48E6" w14:textId="77777777" w:rsidR="00B42D64" w:rsidRPr="00241A1F" w:rsidRDefault="00B42D64" w:rsidP="00B42D64">
            <w:pPr>
              <w:jc w:val="right"/>
              <w:rPr>
                <w:sz w:val="20"/>
                <w:szCs w:val="20"/>
              </w:rPr>
            </w:pPr>
            <w:r w:rsidRPr="00241A1F">
              <w:rPr>
                <w:sz w:val="20"/>
                <w:szCs w:val="20"/>
              </w:rPr>
              <w:lastRenderedPageBreak/>
              <w:t>Code for All Measures</w:t>
            </w:r>
          </w:p>
        </w:tc>
        <w:tc>
          <w:tcPr>
            <w:tcW w:w="8716" w:type="dxa"/>
          </w:tcPr>
          <w:p w14:paraId="196578CC" w14:textId="77777777" w:rsidR="009D47FC" w:rsidRPr="008109D1" w:rsidRDefault="009D47FC" w:rsidP="009D47FC">
            <w:pPr>
              <w:pStyle w:val="PR1"/>
              <w:tabs>
                <w:tab w:val="clear" w:pos="522"/>
                <w:tab w:val="num" w:pos="1152"/>
              </w:tabs>
              <w:ind w:left="1152"/>
              <w:rPr>
                <w:rFonts w:asciiTheme="minorHAnsi" w:hAnsiTheme="minorHAnsi"/>
              </w:rPr>
            </w:pPr>
            <w:r w:rsidRPr="008109D1">
              <w:rPr>
                <w:rFonts w:asciiTheme="minorHAnsi" w:hAnsiTheme="minorHAnsi"/>
                <w:b/>
                <w:bCs/>
                <w:i/>
                <w:iCs/>
              </w:rPr>
              <w:t>Title 20:</w:t>
            </w:r>
            <w:r w:rsidRPr="008109D1">
              <w:rPr>
                <w:rFonts w:asciiTheme="minorHAnsi" w:hAnsiTheme="minorHAnsi"/>
              </w:rPr>
              <w:t xml:space="preserve"> This measure falls under the current Title 20 of the California Energy Regulations, section 1605.1 e, Gas and Oil Space Heaters and Electric Residential Boilers. As of November 19</w:t>
            </w:r>
            <w:r w:rsidRPr="008109D1">
              <w:rPr>
                <w:rFonts w:asciiTheme="minorHAnsi" w:hAnsiTheme="minorHAnsi"/>
                <w:vertAlign w:val="superscript"/>
              </w:rPr>
              <w:t>th</w:t>
            </w:r>
            <w:r w:rsidRPr="008109D1">
              <w:rPr>
                <w:rFonts w:asciiTheme="minorHAnsi" w:hAnsiTheme="minorHAnsi"/>
              </w:rPr>
              <w:t xml:space="preserve">, 2015, the minimum AFUE for Mobile Home gas furnaces is 80% for all furnaces of any input rating, according to Table E-6, </w:t>
            </w:r>
            <w:r w:rsidRPr="008109D1">
              <w:rPr>
                <w:rFonts w:asciiTheme="minorHAnsi" w:hAnsiTheme="minorHAnsi"/>
                <w:i/>
              </w:rPr>
              <w:t>Standards for Commercial Gas/Oil-Fired Central Furnaces</w:t>
            </w:r>
            <w:r w:rsidRPr="008109D1">
              <w:rPr>
                <w:rFonts w:asciiTheme="minorHAnsi" w:hAnsiTheme="minorHAnsi"/>
              </w:rPr>
              <w:t>. This table also shows for all other building types, the minimum AFUE is 80% for non-weatherized gas furnaces and 81% for weatherized gas furnaces. It also states on table E-5, furnaces with a rated input of more than 225,000 BTU/</w:t>
            </w:r>
            <w:proofErr w:type="spellStart"/>
            <w:r w:rsidRPr="008109D1">
              <w:rPr>
                <w:rFonts w:asciiTheme="minorHAnsi" w:hAnsiTheme="minorHAnsi"/>
              </w:rPr>
              <w:t>hr</w:t>
            </w:r>
            <w:proofErr w:type="spellEnd"/>
            <w:r w:rsidRPr="008109D1">
              <w:rPr>
                <w:rFonts w:asciiTheme="minorHAnsi" w:hAnsiTheme="minorHAnsi"/>
              </w:rPr>
              <w:t xml:space="preserve"> shall have an AFUE of 80%. </w:t>
            </w:r>
          </w:p>
          <w:p w14:paraId="64D7EA65" w14:textId="77777777" w:rsidR="009D47FC" w:rsidRPr="008109D1" w:rsidRDefault="009D47FC" w:rsidP="009D47FC">
            <w:pPr>
              <w:pStyle w:val="PR1"/>
              <w:tabs>
                <w:tab w:val="clear" w:pos="522"/>
                <w:tab w:val="num" w:pos="1152"/>
              </w:tabs>
              <w:ind w:left="1152"/>
              <w:rPr>
                <w:rFonts w:asciiTheme="minorHAnsi" w:hAnsiTheme="minorHAnsi"/>
                <w:i/>
                <w:iCs/>
              </w:rPr>
            </w:pPr>
            <w:r w:rsidRPr="008109D1">
              <w:rPr>
                <w:rFonts w:asciiTheme="minorHAnsi" w:hAnsiTheme="minorHAnsi"/>
                <w:b/>
                <w:bCs/>
                <w:i/>
                <w:iCs/>
              </w:rPr>
              <w:t>Title 24:</w:t>
            </w:r>
            <w:r w:rsidRPr="008109D1">
              <w:rPr>
                <w:rFonts w:asciiTheme="minorHAnsi" w:hAnsiTheme="minorHAnsi"/>
                <w:b/>
                <w:bCs/>
              </w:rPr>
              <w:t xml:space="preserve"> </w:t>
            </w:r>
            <w:r w:rsidRPr="008109D1">
              <w:rPr>
                <w:rFonts w:asciiTheme="minorHAnsi" w:hAnsiTheme="minorHAnsi"/>
              </w:rPr>
              <w:t xml:space="preserve">Title 24 of the California Energy Regulations references California’s Title 20 Appliance Efficiency Standards for the minimum efficiency of furnaces installed in California. </w:t>
            </w:r>
          </w:p>
          <w:p w14:paraId="4A481F0D" w14:textId="77777777" w:rsidR="009D47FC" w:rsidRPr="002F1C04" w:rsidRDefault="009D47FC" w:rsidP="009D47FC">
            <w:pPr>
              <w:rPr>
                <w:i/>
                <w:iCs/>
                <w:highlight w:val="yellow"/>
              </w:rPr>
            </w:pPr>
          </w:p>
          <w:p w14:paraId="4BDC00F3" w14:textId="77777777" w:rsidR="009D47FC" w:rsidRPr="008109D1" w:rsidRDefault="009D47FC" w:rsidP="009D47FC">
            <w:pPr>
              <w:pStyle w:val="PR1"/>
              <w:tabs>
                <w:tab w:val="clear" w:pos="522"/>
                <w:tab w:val="num" w:pos="1152"/>
              </w:tabs>
              <w:ind w:left="1152"/>
              <w:rPr>
                <w:rFonts w:asciiTheme="minorHAnsi" w:hAnsiTheme="minorHAnsi"/>
              </w:rPr>
            </w:pPr>
            <w:r w:rsidRPr="008109D1">
              <w:rPr>
                <w:rFonts w:asciiTheme="minorHAnsi" w:hAnsiTheme="minorHAnsi"/>
                <w:b/>
                <w:bCs/>
                <w:i/>
                <w:iCs/>
              </w:rPr>
              <w:t>Federal Standards:</w:t>
            </w:r>
            <w:r w:rsidRPr="008109D1">
              <w:rPr>
                <w:rFonts w:asciiTheme="minorHAnsi" w:hAnsiTheme="minorHAnsi"/>
                <w:b/>
                <w:bCs/>
              </w:rPr>
              <w:t xml:space="preserve"> </w:t>
            </w:r>
            <w:r w:rsidRPr="008109D1">
              <w:rPr>
                <w:rFonts w:asciiTheme="minorHAnsi" w:hAnsiTheme="minorHAnsi"/>
              </w:rPr>
              <w:t xml:space="preserve">This measure falls under Federal DOE (10 CFR Part 430) [5]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w:t>
            </w:r>
          </w:p>
          <w:p w14:paraId="521D5234" w14:textId="77777777" w:rsidR="009D47FC" w:rsidRPr="008109D1" w:rsidRDefault="009D47FC" w:rsidP="009D47FC">
            <w:pPr>
              <w:pStyle w:val="PR2"/>
              <w:tabs>
                <w:tab w:val="clear" w:pos="972"/>
                <w:tab w:val="num" w:pos="1584"/>
              </w:tabs>
              <w:ind w:left="1584"/>
              <w:rPr>
                <w:rFonts w:asciiTheme="minorHAnsi" w:hAnsiTheme="minorHAnsi"/>
              </w:rPr>
            </w:pPr>
            <w:r w:rsidRPr="008109D1">
              <w:rPr>
                <w:rFonts w:asciiTheme="minorHAnsi" w:hAnsiTheme="minorHAnsi"/>
              </w:rPr>
              <w:t>On January 14, 2013, the US DOE proposed to settle a lawsuit brought by the American Public Gas Association that seeks to roll back gas furnace efficiency standards. If accepted by the court, the Federal minimum efficiency standards will revert to a minimum AFUE of 75 for mobile homes and a minimum AFUE of 78 for all other residential furnaces. [6]</w:t>
            </w:r>
          </w:p>
          <w:p w14:paraId="49E76C42" w14:textId="77777777" w:rsidR="009D47FC" w:rsidRPr="008109D1" w:rsidRDefault="009D47FC" w:rsidP="009D47FC">
            <w:pPr>
              <w:pStyle w:val="PR2"/>
              <w:numPr>
                <w:ilvl w:val="0"/>
                <w:numId w:val="0"/>
              </w:numPr>
              <w:ind w:left="1584"/>
              <w:rPr>
                <w:rFonts w:asciiTheme="minorHAnsi" w:hAnsiTheme="minorHAnsi"/>
              </w:rPr>
            </w:pPr>
          </w:p>
          <w:p w14:paraId="4E30F1DF" w14:textId="77777777" w:rsidR="009D47FC" w:rsidRPr="008109D1" w:rsidRDefault="009D47FC" w:rsidP="009D47FC">
            <w:pPr>
              <w:pStyle w:val="PR1"/>
              <w:tabs>
                <w:tab w:val="clear" w:pos="522"/>
                <w:tab w:val="num" w:pos="1152"/>
              </w:tabs>
              <w:ind w:left="1152"/>
              <w:rPr>
                <w:rFonts w:asciiTheme="minorHAnsi" w:hAnsiTheme="minorHAnsi"/>
              </w:rPr>
            </w:pPr>
            <w:r w:rsidRPr="008109D1">
              <w:rPr>
                <w:rFonts w:asciiTheme="minorHAnsi" w:hAnsiTheme="minorHAnsi"/>
                <w:b/>
              </w:rPr>
              <w:t>California Energy Commission Appliance Efficiency Database:</w:t>
            </w:r>
            <w:r w:rsidRPr="008109D1">
              <w:rPr>
                <w:rFonts w:asciiTheme="minorHAnsi" w:hAnsiTheme="minorHAnsi"/>
              </w:rPr>
              <w:t xml:space="preserve"> Market distribution and availability are provided in Attachment C. For more details, please refer to California Energy Commission Appliance Efficiency Database. </w:t>
            </w:r>
          </w:p>
          <w:p w14:paraId="46BBE64E" w14:textId="77777777" w:rsidR="00B42D64" w:rsidRPr="002D747B" w:rsidRDefault="00B42D64" w:rsidP="002D747B">
            <w:pPr>
              <w:rPr>
                <w:rFonts w:cs="Arial"/>
                <w:sz w:val="20"/>
                <w:szCs w:val="20"/>
              </w:rPr>
            </w:pPr>
          </w:p>
        </w:tc>
      </w:tr>
      <w:tr w:rsidR="002D747B" w14:paraId="20C280FB" w14:textId="77777777" w:rsidTr="009A6CB4">
        <w:trPr>
          <w:cantSplit/>
        </w:trPr>
        <w:tc>
          <w:tcPr>
            <w:tcW w:w="1449" w:type="dxa"/>
          </w:tcPr>
          <w:p w14:paraId="75F72F30" w14:textId="77777777" w:rsidR="00B42D64" w:rsidRPr="001D77F7" w:rsidRDefault="00B42D64" w:rsidP="00B42D64">
            <w:pPr>
              <w:jc w:val="right"/>
              <w:rPr>
                <w:b/>
              </w:rPr>
            </w:pPr>
            <w:r w:rsidRPr="00197677">
              <w:rPr>
                <w:rFonts w:cs="Arial"/>
                <w:sz w:val="20"/>
                <w:szCs w:val="20"/>
              </w:rPr>
              <w:lastRenderedPageBreak/>
              <w:t>Requirements</w:t>
            </w:r>
          </w:p>
        </w:tc>
        <w:tc>
          <w:tcPr>
            <w:tcW w:w="8716" w:type="dxa"/>
          </w:tcPr>
          <w:p w14:paraId="78958D27" w14:textId="77777777" w:rsidR="00F806C8" w:rsidRPr="003E3A25" w:rsidRDefault="00F806C8" w:rsidP="00F806C8">
            <w:pPr>
              <w:pStyle w:val="PR1"/>
              <w:rPr>
                <w:rFonts w:asciiTheme="minorHAnsi" w:eastAsia="Times New Roman" w:hAnsiTheme="minorHAnsi" w:cs="Arial"/>
              </w:rPr>
            </w:pPr>
            <w:r w:rsidRPr="003E3A25">
              <w:rPr>
                <w:rFonts w:asciiTheme="minorHAnsi" w:eastAsia="Times New Roman" w:hAnsiTheme="minorHAnsi" w:cs="Arial"/>
              </w:rPr>
              <w:t>Qualifying Efficiency</w:t>
            </w:r>
          </w:p>
          <w:p w14:paraId="1C54FA98" w14:textId="7A9EB7F4" w:rsidR="00F806C8" w:rsidRDefault="00F806C8" w:rsidP="00F806C8">
            <w:pPr>
              <w:pStyle w:val="PR2"/>
              <w:rPr>
                <w:rFonts w:asciiTheme="minorHAnsi" w:eastAsia="Times New Roman" w:hAnsiTheme="minorHAnsi" w:cs="Arial"/>
              </w:rPr>
            </w:pPr>
            <w:r w:rsidRPr="003E3A25">
              <w:rPr>
                <w:rFonts w:asciiTheme="minorHAnsi" w:eastAsia="Times New Roman" w:hAnsiTheme="minorHAnsi" w:cs="Arial"/>
              </w:rPr>
              <w:t>A central gas furnace with an AFUE equal to or greater than 92% and less than 95% for residential single famil</w:t>
            </w:r>
            <w:r w:rsidR="003E3C7D">
              <w:rPr>
                <w:rFonts w:asciiTheme="minorHAnsi" w:eastAsia="Times New Roman" w:hAnsiTheme="minorHAnsi" w:cs="Arial"/>
              </w:rPr>
              <w:t>y, multifamily and mobile homes.</w:t>
            </w:r>
          </w:p>
          <w:p w14:paraId="3603FF42" w14:textId="77777777" w:rsidR="003E3C7D" w:rsidRPr="003E3A25" w:rsidRDefault="003E3C7D" w:rsidP="003E3C7D">
            <w:pPr>
              <w:pStyle w:val="PR2"/>
              <w:numPr>
                <w:ilvl w:val="0"/>
                <w:numId w:val="0"/>
              </w:numPr>
              <w:ind w:left="540"/>
              <w:rPr>
                <w:rFonts w:asciiTheme="minorHAnsi" w:eastAsia="Times New Roman" w:hAnsiTheme="minorHAnsi" w:cs="Arial"/>
              </w:rPr>
            </w:pPr>
          </w:p>
          <w:p w14:paraId="031E6294" w14:textId="34BBFEA5" w:rsidR="00F806C8" w:rsidRDefault="00F806C8" w:rsidP="00F806C8">
            <w:pPr>
              <w:pStyle w:val="PR2"/>
              <w:rPr>
                <w:rFonts w:asciiTheme="minorHAnsi" w:eastAsia="Times New Roman" w:hAnsiTheme="minorHAnsi" w:cs="Arial"/>
              </w:rPr>
            </w:pPr>
            <w:r w:rsidRPr="003E3A25">
              <w:rPr>
                <w:rFonts w:asciiTheme="minorHAnsi" w:eastAsia="Times New Roman" w:hAnsiTheme="minorHAnsi" w:cs="Arial"/>
              </w:rPr>
              <w:t>A central gas furnace with an AFUE equal to or greater than 95% and less than 96% for residential single family, multifamily and mobile homes</w:t>
            </w:r>
            <w:r w:rsidR="003E3C7D">
              <w:rPr>
                <w:rFonts w:asciiTheme="minorHAnsi" w:eastAsia="Times New Roman" w:hAnsiTheme="minorHAnsi" w:cs="Arial"/>
              </w:rPr>
              <w:t>.</w:t>
            </w:r>
          </w:p>
          <w:p w14:paraId="2B24DC54" w14:textId="741E432F" w:rsidR="003E3C7D" w:rsidRPr="003E3A25" w:rsidRDefault="003E3C7D" w:rsidP="003E3C7D">
            <w:pPr>
              <w:pStyle w:val="PR2"/>
              <w:numPr>
                <w:ilvl w:val="0"/>
                <w:numId w:val="0"/>
              </w:numPr>
              <w:rPr>
                <w:rFonts w:asciiTheme="minorHAnsi" w:eastAsia="Times New Roman" w:hAnsiTheme="minorHAnsi" w:cs="Arial"/>
              </w:rPr>
            </w:pPr>
          </w:p>
          <w:p w14:paraId="3FB87493" w14:textId="3499B9B7" w:rsidR="00F806C8" w:rsidRDefault="00F806C8" w:rsidP="00F806C8">
            <w:pPr>
              <w:pStyle w:val="PR2"/>
              <w:rPr>
                <w:rFonts w:asciiTheme="minorHAnsi" w:eastAsia="Times New Roman" w:hAnsiTheme="minorHAnsi" w:cs="Arial"/>
              </w:rPr>
            </w:pPr>
            <w:r w:rsidRPr="003E3A25">
              <w:rPr>
                <w:rFonts w:asciiTheme="minorHAnsi" w:eastAsia="Times New Roman" w:hAnsiTheme="minorHAnsi" w:cs="Arial"/>
              </w:rPr>
              <w:t>A central gas furnace with an AFUE equal to or greater than 96% and less than 97% for residential single family,</w:t>
            </w:r>
            <w:r w:rsidR="003E3C7D">
              <w:rPr>
                <w:rFonts w:asciiTheme="minorHAnsi" w:eastAsia="Times New Roman" w:hAnsiTheme="minorHAnsi" w:cs="Arial"/>
              </w:rPr>
              <w:t xml:space="preserve"> multifamily and mobile homes.</w:t>
            </w:r>
          </w:p>
          <w:p w14:paraId="08767721" w14:textId="70ADC060" w:rsidR="003E3C7D" w:rsidRPr="003E3A25" w:rsidRDefault="003E3C7D" w:rsidP="003E3C7D">
            <w:pPr>
              <w:pStyle w:val="PR2"/>
              <w:numPr>
                <w:ilvl w:val="0"/>
                <w:numId w:val="0"/>
              </w:numPr>
              <w:rPr>
                <w:rFonts w:asciiTheme="minorHAnsi" w:eastAsia="Times New Roman" w:hAnsiTheme="minorHAnsi" w:cs="Arial"/>
              </w:rPr>
            </w:pPr>
          </w:p>
          <w:p w14:paraId="225CF6B6" w14:textId="167D5A88" w:rsidR="00F806C8" w:rsidRPr="003E3A25" w:rsidRDefault="00F806C8" w:rsidP="00F806C8">
            <w:pPr>
              <w:pStyle w:val="PR2"/>
              <w:rPr>
                <w:rFonts w:asciiTheme="minorHAnsi" w:eastAsia="Times New Roman" w:hAnsiTheme="minorHAnsi" w:cs="Arial"/>
              </w:rPr>
            </w:pPr>
            <w:r w:rsidRPr="003E3A25">
              <w:rPr>
                <w:rFonts w:asciiTheme="minorHAnsi" w:eastAsia="Times New Roman" w:hAnsiTheme="minorHAnsi" w:cs="Arial"/>
              </w:rPr>
              <w:t>A central gas furnace with an AFUE equal to or greater than 97% for residential single famil</w:t>
            </w:r>
            <w:r w:rsidR="003E3C7D">
              <w:rPr>
                <w:rFonts w:asciiTheme="minorHAnsi" w:eastAsia="Times New Roman" w:hAnsiTheme="minorHAnsi" w:cs="Arial"/>
              </w:rPr>
              <w:t>y, multifamily and mobile homes.</w:t>
            </w:r>
          </w:p>
          <w:p w14:paraId="63715D49" w14:textId="77777777" w:rsidR="00F806C8" w:rsidRPr="003E3A25" w:rsidRDefault="00F806C8" w:rsidP="00F806C8">
            <w:pPr>
              <w:pStyle w:val="PR1"/>
              <w:rPr>
                <w:rFonts w:asciiTheme="minorHAnsi" w:eastAsia="Times New Roman" w:hAnsiTheme="minorHAnsi" w:cs="Arial"/>
              </w:rPr>
            </w:pPr>
            <w:r w:rsidRPr="003E3A25">
              <w:rPr>
                <w:rFonts w:asciiTheme="minorHAnsi" w:eastAsia="Times New Roman" w:hAnsiTheme="minorHAnsi" w:cs="Arial"/>
              </w:rPr>
              <w:t>Program Restrictions and Guidelines</w:t>
            </w:r>
          </w:p>
          <w:p w14:paraId="0F14AA11" w14:textId="2742FAFB" w:rsidR="00F806C8" w:rsidRPr="003E3A25" w:rsidRDefault="00F806C8" w:rsidP="00F806C8">
            <w:pPr>
              <w:pStyle w:val="PR2"/>
              <w:rPr>
                <w:rFonts w:asciiTheme="minorHAnsi" w:eastAsia="Times New Roman" w:hAnsiTheme="minorHAnsi" w:cs="Arial"/>
              </w:rPr>
            </w:pPr>
            <w:r w:rsidRPr="003E3A25">
              <w:rPr>
                <w:rFonts w:asciiTheme="minorHAnsi" w:eastAsia="Times New Roman" w:hAnsiTheme="minorHAnsi" w:cs="Arial"/>
              </w:rPr>
              <w:t>This measure is applied to a residential single family, multifamily an</w:t>
            </w:r>
            <w:r w:rsidR="003E3C7D">
              <w:rPr>
                <w:rFonts w:asciiTheme="minorHAnsi" w:eastAsia="Times New Roman" w:hAnsiTheme="minorHAnsi" w:cs="Arial"/>
              </w:rPr>
              <w:t>d mobile homes located in SDG&amp;E’s</w:t>
            </w:r>
            <w:r w:rsidRPr="003E3A25">
              <w:rPr>
                <w:rFonts w:asciiTheme="minorHAnsi" w:eastAsia="Times New Roman" w:hAnsiTheme="minorHAnsi" w:cs="Arial"/>
              </w:rPr>
              <w:t xml:space="preserve"> service territory. To qualify the applicant must have natural gas distributed to the installation address for the gas furnace rebate. The central natural gas furnace must have an Annual Fuel Utilization Efficiency (AFUE) rating of ≥ 92% and &lt; 95%, ≥ 95% and &lt; 96%, ≥ 96% and &lt; 97%, and ≥ 97% for incentives.  </w:t>
            </w:r>
          </w:p>
          <w:p w14:paraId="26CCFAE9" w14:textId="77777777" w:rsidR="00B42D64" w:rsidRPr="003C038E" w:rsidRDefault="00B42D64" w:rsidP="00B42D64">
            <w:pPr>
              <w:ind w:left="720"/>
              <w:rPr>
                <w:rFonts w:ascii="Calibri" w:hAnsi="Calibri"/>
                <w:szCs w:val="22"/>
              </w:rPr>
            </w:pPr>
          </w:p>
        </w:tc>
      </w:tr>
      <w:tr w:rsidR="002D747B" w14:paraId="253121D4" w14:textId="77777777" w:rsidTr="009D47FC">
        <w:trPr>
          <w:cantSplit/>
          <w:trHeight w:val="863"/>
        </w:trPr>
        <w:tc>
          <w:tcPr>
            <w:tcW w:w="1449" w:type="dxa"/>
          </w:tcPr>
          <w:p w14:paraId="60DAE9D5" w14:textId="77777777" w:rsidR="00B42D64" w:rsidRPr="001D77F7" w:rsidRDefault="00B42D64" w:rsidP="00B42D64">
            <w:pPr>
              <w:rPr>
                <w:b/>
              </w:rPr>
            </w:pPr>
            <w:r w:rsidRPr="001D77F7">
              <w:rPr>
                <w:b/>
              </w:rPr>
              <w:t>1.3 Installation Type and Delivery Mechanisms</w:t>
            </w:r>
          </w:p>
        </w:tc>
        <w:tc>
          <w:tcPr>
            <w:tcW w:w="8716" w:type="dxa"/>
          </w:tcPr>
          <w:p w14:paraId="4949899D" w14:textId="77777777" w:rsidR="00B42D64" w:rsidRPr="00D86243" w:rsidRDefault="00B42D64" w:rsidP="00B42D64">
            <w:pPr>
              <w:rPr>
                <w:rFonts w:cs="Arial"/>
                <w:sz w:val="20"/>
                <w:szCs w:val="20"/>
              </w:rPr>
            </w:pPr>
          </w:p>
        </w:tc>
      </w:tr>
      <w:tr w:rsidR="002D747B" w14:paraId="7CAAB1E6" w14:textId="77777777" w:rsidTr="003614B5">
        <w:trPr>
          <w:cantSplit/>
          <w:trHeight w:val="2105"/>
        </w:trPr>
        <w:tc>
          <w:tcPr>
            <w:tcW w:w="1449" w:type="dxa"/>
            <w:vAlign w:val="center"/>
          </w:tcPr>
          <w:p w14:paraId="68EB9B07" w14:textId="77777777" w:rsidR="00B42D64" w:rsidRPr="00822B6F" w:rsidRDefault="00B42D64" w:rsidP="00B42D64">
            <w:pPr>
              <w:jc w:val="right"/>
              <w:rPr>
                <w:sz w:val="20"/>
                <w:szCs w:val="20"/>
              </w:rPr>
            </w:pPr>
            <w:r w:rsidRPr="00822B6F">
              <w:rPr>
                <w:sz w:val="20"/>
                <w:szCs w:val="20"/>
              </w:rPr>
              <w:t>Installation Type</w:t>
            </w:r>
          </w:p>
        </w:tc>
        <w:tc>
          <w:tcPr>
            <w:tcW w:w="8716" w:type="dxa"/>
          </w:tcPr>
          <w:p w14:paraId="31A753A7" w14:textId="77777777" w:rsidR="00B42D64" w:rsidRDefault="00B42D64" w:rsidP="00B42D64">
            <w:pPr>
              <w:pStyle w:val="ListParagraph"/>
              <w:ind w:left="360"/>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1823"/>
              <w:gridCol w:w="6034"/>
            </w:tblGrid>
            <w:tr w:rsidR="002D77CC" w:rsidRPr="0077159C" w14:paraId="736812A6" w14:textId="77777777" w:rsidTr="009A6CB4">
              <w:trPr>
                <w:trHeight w:val="315"/>
                <w:jc w:val="center"/>
              </w:trPr>
              <w:tc>
                <w:tcPr>
                  <w:tcW w:w="0" w:type="auto"/>
                  <w:shd w:val="clear" w:color="000000" w:fill="D9D9D9"/>
                  <w:noWrap/>
                  <w:vAlign w:val="bottom"/>
                </w:tcPr>
                <w:p w14:paraId="7B410E06" w14:textId="77777777" w:rsidR="002D77CC" w:rsidRPr="008109D1" w:rsidRDefault="002D77CC" w:rsidP="002D77CC">
                  <w:pPr>
                    <w:pStyle w:val="NoSpacing"/>
                    <w:rPr>
                      <w:rFonts w:asciiTheme="minorHAnsi" w:hAnsiTheme="minorHAnsi" w:cstheme="minorHAnsi"/>
                    </w:rPr>
                  </w:pPr>
                  <w:r w:rsidRPr="008109D1">
                    <w:rPr>
                      <w:rFonts w:asciiTheme="minorHAnsi" w:hAnsiTheme="minorHAnsi" w:cstheme="minorHAnsi"/>
                    </w:rPr>
                    <w:t>Code</w:t>
                  </w:r>
                </w:p>
              </w:tc>
              <w:tc>
                <w:tcPr>
                  <w:tcW w:w="0" w:type="auto"/>
                  <w:shd w:val="clear" w:color="000000" w:fill="D9D9D9"/>
                  <w:noWrap/>
                  <w:vAlign w:val="bottom"/>
                </w:tcPr>
                <w:p w14:paraId="09C3ECA7" w14:textId="77777777" w:rsidR="002D77CC" w:rsidRPr="008109D1" w:rsidRDefault="002D77CC" w:rsidP="002D77CC">
                  <w:pPr>
                    <w:pStyle w:val="NoSpacing"/>
                    <w:rPr>
                      <w:rFonts w:asciiTheme="minorHAnsi" w:hAnsiTheme="minorHAnsi" w:cstheme="minorHAnsi"/>
                    </w:rPr>
                  </w:pPr>
                  <w:r w:rsidRPr="008109D1">
                    <w:rPr>
                      <w:rFonts w:asciiTheme="minorHAnsi" w:hAnsiTheme="minorHAnsi" w:cstheme="minorHAnsi"/>
                    </w:rPr>
                    <w:t>Description</w:t>
                  </w:r>
                </w:p>
              </w:tc>
              <w:tc>
                <w:tcPr>
                  <w:tcW w:w="0" w:type="auto"/>
                  <w:shd w:val="clear" w:color="000000" w:fill="D9D9D9"/>
                  <w:noWrap/>
                  <w:vAlign w:val="bottom"/>
                </w:tcPr>
                <w:p w14:paraId="3C5A6882" w14:textId="77777777" w:rsidR="002D77CC" w:rsidRPr="008109D1" w:rsidRDefault="002D77CC" w:rsidP="002D77CC">
                  <w:pPr>
                    <w:pStyle w:val="NoSpacing"/>
                    <w:rPr>
                      <w:rFonts w:asciiTheme="minorHAnsi" w:hAnsiTheme="minorHAnsi" w:cstheme="minorHAnsi"/>
                    </w:rPr>
                  </w:pPr>
                  <w:r w:rsidRPr="008109D1">
                    <w:rPr>
                      <w:rFonts w:asciiTheme="minorHAnsi" w:hAnsiTheme="minorHAnsi" w:cstheme="minorHAnsi"/>
                    </w:rPr>
                    <w:t>Comment</w:t>
                  </w:r>
                </w:p>
              </w:tc>
            </w:tr>
            <w:tr w:rsidR="002D77CC" w:rsidRPr="0077159C" w14:paraId="539A3A1F" w14:textId="77777777" w:rsidTr="009A6CB4">
              <w:trPr>
                <w:trHeight w:val="600"/>
                <w:jc w:val="center"/>
              </w:trPr>
              <w:tc>
                <w:tcPr>
                  <w:tcW w:w="0" w:type="auto"/>
                  <w:noWrap/>
                  <w:vAlign w:val="center"/>
                </w:tcPr>
                <w:p w14:paraId="7AA058D2"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ROB</w:t>
                  </w:r>
                </w:p>
              </w:tc>
              <w:tc>
                <w:tcPr>
                  <w:tcW w:w="0" w:type="auto"/>
                  <w:noWrap/>
                  <w:vAlign w:val="center"/>
                </w:tcPr>
                <w:p w14:paraId="747C6D7E"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Replace on Burnout</w:t>
                  </w:r>
                </w:p>
              </w:tc>
              <w:tc>
                <w:tcPr>
                  <w:tcW w:w="0" w:type="auto"/>
                  <w:vAlign w:val="center"/>
                </w:tcPr>
                <w:p w14:paraId="648168B1"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Measure applied when existing equipment fails or maintenance requires replacement</w:t>
                  </w:r>
                </w:p>
              </w:tc>
            </w:tr>
            <w:tr w:rsidR="002D77CC" w:rsidRPr="0077159C" w14:paraId="149F78A6" w14:textId="77777777" w:rsidTr="009A6CB4">
              <w:trPr>
                <w:trHeight w:val="600"/>
                <w:jc w:val="center"/>
              </w:trPr>
              <w:tc>
                <w:tcPr>
                  <w:tcW w:w="0" w:type="auto"/>
                  <w:noWrap/>
                  <w:vAlign w:val="center"/>
                </w:tcPr>
                <w:p w14:paraId="5EB49FB6"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NC</w:t>
                  </w:r>
                </w:p>
              </w:tc>
              <w:tc>
                <w:tcPr>
                  <w:tcW w:w="0" w:type="auto"/>
                  <w:noWrap/>
                  <w:vAlign w:val="center"/>
                </w:tcPr>
                <w:p w14:paraId="525FEAE6"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New Construction</w:t>
                  </w:r>
                </w:p>
              </w:tc>
              <w:tc>
                <w:tcPr>
                  <w:tcW w:w="0" w:type="auto"/>
                  <w:vAlign w:val="center"/>
                </w:tcPr>
                <w:p w14:paraId="44C354F8" w14:textId="77777777" w:rsidR="002D77CC" w:rsidRPr="002D77CC" w:rsidRDefault="002D77CC" w:rsidP="002D77CC">
                  <w:pPr>
                    <w:pStyle w:val="NoSpacing"/>
                    <w:rPr>
                      <w:rFonts w:asciiTheme="minorHAnsi" w:eastAsia="Times New Roman" w:hAnsiTheme="minorHAnsi" w:cs="Arial"/>
                    </w:rPr>
                  </w:pPr>
                  <w:r w:rsidRPr="002D77CC">
                    <w:rPr>
                      <w:rFonts w:asciiTheme="minorHAnsi" w:eastAsia="Times New Roman" w:hAnsiTheme="minorHAnsi" w:cs="Arial"/>
                    </w:rPr>
                    <w:t>Measure applied during construction design phase as an alternative to a code-compliant standard design</w:t>
                  </w:r>
                </w:p>
              </w:tc>
            </w:tr>
          </w:tbl>
          <w:p w14:paraId="44E447E1" w14:textId="77777777" w:rsidR="002D77CC" w:rsidRDefault="002D77CC" w:rsidP="00B42D64">
            <w:pPr>
              <w:pStyle w:val="ListParagraph"/>
              <w:ind w:left="360"/>
              <w:rPr>
                <w:rFonts w:cs="Arial"/>
                <w:sz w:val="20"/>
                <w:szCs w:val="20"/>
              </w:rPr>
            </w:pPr>
          </w:p>
          <w:p w14:paraId="04A658D6" w14:textId="77777777" w:rsidR="002D77CC" w:rsidRPr="00393EC8" w:rsidRDefault="002D77CC" w:rsidP="00B42D64">
            <w:pPr>
              <w:pStyle w:val="ListParagraph"/>
              <w:ind w:left="360"/>
              <w:rPr>
                <w:rFonts w:cs="Arial"/>
                <w:sz w:val="20"/>
                <w:szCs w:val="20"/>
              </w:rPr>
            </w:pPr>
          </w:p>
        </w:tc>
      </w:tr>
      <w:tr w:rsidR="002D747B" w14:paraId="2241B2BE" w14:textId="77777777" w:rsidTr="009A6CB4">
        <w:trPr>
          <w:cantSplit/>
        </w:trPr>
        <w:tc>
          <w:tcPr>
            <w:tcW w:w="1449" w:type="dxa"/>
            <w:vAlign w:val="center"/>
          </w:tcPr>
          <w:p w14:paraId="3B77D28B" w14:textId="77777777" w:rsidR="00B42D64" w:rsidRPr="00822B6F" w:rsidRDefault="00B42D64" w:rsidP="00B42D64">
            <w:pPr>
              <w:jc w:val="right"/>
              <w:rPr>
                <w:sz w:val="20"/>
                <w:szCs w:val="20"/>
              </w:rPr>
            </w:pPr>
            <w:r w:rsidRPr="00822B6F">
              <w:rPr>
                <w:sz w:val="20"/>
                <w:szCs w:val="20"/>
              </w:rPr>
              <w:t>Delivery Mechanisms</w:t>
            </w:r>
          </w:p>
        </w:tc>
        <w:tc>
          <w:tcPr>
            <w:tcW w:w="8716" w:type="dxa"/>
          </w:tcPr>
          <w:p w14:paraId="7ED5006D" w14:textId="77777777" w:rsidR="00B42D64" w:rsidRDefault="00B42D64" w:rsidP="00B42D64">
            <w:pPr>
              <w:pStyle w:val="ListParagraph"/>
              <w:numPr>
                <w:ilvl w:val="0"/>
                <w:numId w:val="7"/>
              </w:numPr>
              <w:rPr>
                <w:rFonts w:cs="Arial"/>
                <w:sz w:val="20"/>
                <w:szCs w:val="20"/>
              </w:rPr>
            </w:pPr>
            <w:r w:rsidRPr="00476F40">
              <w:rPr>
                <w:rFonts w:cs="Arial"/>
                <w:sz w:val="20"/>
                <w:szCs w:val="20"/>
              </w:rPr>
              <w:t xml:space="preserve">Downstream </w:t>
            </w:r>
            <w:r>
              <w:rPr>
                <w:rFonts w:cs="Arial"/>
                <w:sz w:val="20"/>
                <w:szCs w:val="20"/>
              </w:rPr>
              <w:t>Rebate – Deemed Rebate</w:t>
            </w:r>
          </w:p>
          <w:p w14:paraId="4CEA3113" w14:textId="77777777" w:rsidR="00B42D64" w:rsidRDefault="00B42D64" w:rsidP="00B42D64">
            <w:pPr>
              <w:pStyle w:val="ListParagraph"/>
              <w:numPr>
                <w:ilvl w:val="0"/>
                <w:numId w:val="7"/>
              </w:numPr>
              <w:rPr>
                <w:rFonts w:cs="Arial"/>
                <w:sz w:val="20"/>
                <w:szCs w:val="20"/>
              </w:rPr>
            </w:pPr>
            <w:r>
              <w:rPr>
                <w:rFonts w:cs="Arial"/>
                <w:sz w:val="20"/>
                <w:szCs w:val="20"/>
              </w:rPr>
              <w:t>Direct Install</w:t>
            </w:r>
          </w:p>
          <w:p w14:paraId="4C7E3EF2" w14:textId="260187C3" w:rsidR="001D0BEA" w:rsidRPr="00241A1F" w:rsidRDefault="00AD0B65" w:rsidP="00B42D64">
            <w:pPr>
              <w:pStyle w:val="ListParagraph"/>
              <w:numPr>
                <w:ilvl w:val="0"/>
                <w:numId w:val="7"/>
              </w:numPr>
              <w:rPr>
                <w:rFonts w:cs="Arial"/>
                <w:sz w:val="20"/>
                <w:szCs w:val="20"/>
              </w:rPr>
            </w:pPr>
            <w:r>
              <w:rPr>
                <w:rFonts w:cs="Arial"/>
                <w:sz w:val="20"/>
                <w:szCs w:val="20"/>
              </w:rPr>
              <w:t>Upstream</w:t>
            </w:r>
            <w:bookmarkStart w:id="2" w:name="_GoBack"/>
            <w:bookmarkEnd w:id="2"/>
          </w:p>
        </w:tc>
      </w:tr>
      <w:tr w:rsidR="002D747B" w14:paraId="6115DEEC" w14:textId="77777777" w:rsidTr="009A6CB4">
        <w:trPr>
          <w:cantSplit/>
        </w:trPr>
        <w:tc>
          <w:tcPr>
            <w:tcW w:w="1449" w:type="dxa"/>
          </w:tcPr>
          <w:p w14:paraId="4D72DAEB" w14:textId="77777777" w:rsidR="00B42D64" w:rsidRPr="001D77F7" w:rsidRDefault="00B42D64" w:rsidP="00B42D64">
            <w:pPr>
              <w:rPr>
                <w:b/>
              </w:rPr>
            </w:pPr>
            <w:r w:rsidRPr="001D77F7">
              <w:rPr>
                <w:b/>
              </w:rPr>
              <w:t>1.4.1 DEER Data</w:t>
            </w:r>
          </w:p>
        </w:tc>
        <w:tc>
          <w:tcPr>
            <w:tcW w:w="8716" w:type="dxa"/>
          </w:tcPr>
          <w:p w14:paraId="4A45568B" w14:textId="71912CCC" w:rsidR="00B42D64" w:rsidRPr="00B91BFF" w:rsidRDefault="00B42D64" w:rsidP="00B42D64">
            <w:pPr>
              <w:rPr>
                <w:sz w:val="20"/>
                <w:szCs w:val="20"/>
              </w:rPr>
            </w:pPr>
          </w:p>
        </w:tc>
      </w:tr>
      <w:tr w:rsidR="002D747B" w14:paraId="589A43DB" w14:textId="77777777" w:rsidTr="009A6CB4">
        <w:trPr>
          <w:cantSplit/>
        </w:trPr>
        <w:tc>
          <w:tcPr>
            <w:tcW w:w="1449" w:type="dxa"/>
            <w:vAlign w:val="center"/>
          </w:tcPr>
          <w:p w14:paraId="1F15E811" w14:textId="77777777" w:rsidR="00B42D64" w:rsidRPr="00DC4E59" w:rsidRDefault="00B42D64" w:rsidP="00B42D64">
            <w:pPr>
              <w:jc w:val="right"/>
              <w:rPr>
                <w:sz w:val="20"/>
                <w:szCs w:val="20"/>
              </w:rPr>
            </w:pPr>
            <w:r w:rsidRPr="00DC4E59">
              <w:rPr>
                <w:sz w:val="20"/>
                <w:szCs w:val="20"/>
              </w:rPr>
              <w:t>Net-to-Gross Ratio</w:t>
            </w:r>
          </w:p>
        </w:tc>
        <w:tc>
          <w:tcPr>
            <w:tcW w:w="8716" w:type="dxa"/>
          </w:tcPr>
          <w:p w14:paraId="26748FF8" w14:textId="77777777" w:rsidR="00B42D64" w:rsidRPr="002941E7" w:rsidRDefault="00B42D64" w:rsidP="00B42D64">
            <w:pPr>
              <w:tabs>
                <w:tab w:val="right" w:pos="6732"/>
              </w:tabs>
              <w:rPr>
                <w:rFonts w:cs="Arial"/>
                <w:sz w:val="20"/>
                <w:szCs w:val="20"/>
              </w:rPr>
            </w:pPr>
            <w:r w:rsidRPr="002941E7">
              <w:rPr>
                <w:rFonts w:cs="Arial"/>
                <w:sz w:val="20"/>
                <w:szCs w:val="20"/>
              </w:rPr>
              <w:t>All-Default&lt;=2yrs</w:t>
            </w:r>
          </w:p>
          <w:p w14:paraId="60C3F4FC" w14:textId="77777777" w:rsidR="00B42D64" w:rsidRPr="00DC4E59" w:rsidRDefault="00B42D64" w:rsidP="00B42D64">
            <w:pPr>
              <w:tabs>
                <w:tab w:val="right" w:pos="6732"/>
              </w:tabs>
              <w:rPr>
                <w:rFonts w:cs="Arial"/>
                <w:sz w:val="20"/>
                <w:szCs w:val="20"/>
              </w:rPr>
            </w:pPr>
            <w:r w:rsidRPr="005545ED">
              <w:rPr>
                <w:rFonts w:cs="Arial"/>
                <w:sz w:val="20"/>
                <w:szCs w:val="20"/>
              </w:rPr>
              <w:t>All other EEMs with no evaluated NTGR</w:t>
            </w:r>
            <w:r>
              <w:rPr>
                <w:rFonts w:cs="Arial"/>
                <w:sz w:val="20"/>
                <w:szCs w:val="20"/>
              </w:rPr>
              <w:t>: new technology in program for 2 or fewer years</w:t>
            </w:r>
          </w:p>
        </w:tc>
      </w:tr>
      <w:tr w:rsidR="00BF5CB9" w14:paraId="15081BFE" w14:textId="77777777" w:rsidTr="009A6CB4">
        <w:trPr>
          <w:cantSplit/>
        </w:trPr>
        <w:tc>
          <w:tcPr>
            <w:tcW w:w="1449" w:type="dxa"/>
            <w:vAlign w:val="center"/>
          </w:tcPr>
          <w:p w14:paraId="312A205F" w14:textId="77777777" w:rsidR="00BF5CB9" w:rsidRPr="00DC4E59" w:rsidRDefault="00BF5CB9" w:rsidP="00BF5CB9">
            <w:pPr>
              <w:jc w:val="right"/>
              <w:rPr>
                <w:sz w:val="20"/>
                <w:szCs w:val="20"/>
              </w:rPr>
            </w:pPr>
            <w:r w:rsidRPr="00DC4E59">
              <w:rPr>
                <w:sz w:val="20"/>
                <w:szCs w:val="20"/>
              </w:rPr>
              <w:t>GSIA</w:t>
            </w:r>
          </w:p>
        </w:tc>
        <w:tc>
          <w:tcPr>
            <w:tcW w:w="8716" w:type="dxa"/>
          </w:tcPr>
          <w:tbl>
            <w:tblPr>
              <w:tblStyle w:val="TableGrid"/>
              <w:tblW w:w="3564" w:type="pct"/>
              <w:jc w:val="center"/>
              <w:tblLook w:val="04A0" w:firstRow="1" w:lastRow="0" w:firstColumn="1" w:lastColumn="0" w:noHBand="0" w:noVBand="1"/>
            </w:tblPr>
            <w:tblGrid>
              <w:gridCol w:w="907"/>
              <w:gridCol w:w="1164"/>
              <w:gridCol w:w="735"/>
              <w:gridCol w:w="994"/>
              <w:gridCol w:w="1169"/>
              <w:gridCol w:w="1083"/>
            </w:tblGrid>
            <w:tr w:rsidR="00FD0494" w:rsidRPr="00DC4E59" w14:paraId="2A9E0B04" w14:textId="77777777" w:rsidTr="009A6CB4">
              <w:trPr>
                <w:trHeight w:val="242"/>
                <w:jc w:val="center"/>
              </w:trPr>
              <w:tc>
                <w:tcPr>
                  <w:tcW w:w="758" w:type="pct"/>
                </w:tcPr>
                <w:p w14:paraId="3828A0FF" w14:textId="77777777" w:rsidR="00BF5CB9" w:rsidRPr="00DC4E59" w:rsidRDefault="00BF5CB9" w:rsidP="00BF5CB9">
                  <w:pPr>
                    <w:tabs>
                      <w:tab w:val="right" w:pos="6732"/>
                    </w:tabs>
                    <w:rPr>
                      <w:rFonts w:cs="Arial"/>
                      <w:sz w:val="20"/>
                      <w:szCs w:val="20"/>
                    </w:rPr>
                  </w:pPr>
                  <w:r w:rsidRPr="00DC4E59">
                    <w:rPr>
                      <w:rFonts w:cs="Arial"/>
                      <w:sz w:val="20"/>
                      <w:szCs w:val="20"/>
                    </w:rPr>
                    <w:t>GSIA</w:t>
                  </w:r>
                </w:p>
              </w:tc>
              <w:tc>
                <w:tcPr>
                  <w:tcW w:w="970" w:type="pct"/>
                </w:tcPr>
                <w:p w14:paraId="09B5313B" w14:textId="77777777" w:rsidR="00BF5CB9" w:rsidRPr="00DC4E59" w:rsidRDefault="00BF5CB9" w:rsidP="00BF5CB9">
                  <w:pPr>
                    <w:tabs>
                      <w:tab w:val="right" w:pos="6732"/>
                    </w:tabs>
                    <w:rPr>
                      <w:rFonts w:cs="Arial"/>
                      <w:sz w:val="20"/>
                      <w:szCs w:val="20"/>
                    </w:rPr>
                  </w:pPr>
                  <w:r w:rsidRPr="00DC4E59">
                    <w:rPr>
                      <w:rFonts w:cs="Arial"/>
                      <w:sz w:val="20"/>
                      <w:szCs w:val="20"/>
                    </w:rPr>
                    <w:t>Description</w:t>
                  </w:r>
                </w:p>
              </w:tc>
              <w:tc>
                <w:tcPr>
                  <w:tcW w:w="568" w:type="pct"/>
                </w:tcPr>
                <w:p w14:paraId="072E48B4" w14:textId="77777777" w:rsidR="00BF5CB9" w:rsidRPr="00DC4E59" w:rsidRDefault="00BF5CB9" w:rsidP="00BF5CB9">
                  <w:pPr>
                    <w:tabs>
                      <w:tab w:val="right" w:pos="6732"/>
                    </w:tabs>
                    <w:rPr>
                      <w:rFonts w:cs="Arial"/>
                      <w:sz w:val="20"/>
                      <w:szCs w:val="20"/>
                    </w:rPr>
                  </w:pPr>
                  <w:r w:rsidRPr="00DC4E59">
                    <w:rPr>
                      <w:rFonts w:cs="Arial"/>
                      <w:sz w:val="20"/>
                      <w:szCs w:val="20"/>
                    </w:rPr>
                    <w:t>Sector</w:t>
                  </w:r>
                </w:p>
              </w:tc>
              <w:tc>
                <w:tcPr>
                  <w:tcW w:w="829" w:type="pct"/>
                </w:tcPr>
                <w:p w14:paraId="15A7D193" w14:textId="77777777" w:rsidR="00BF5CB9" w:rsidRPr="00DC4E59" w:rsidRDefault="00BF5CB9" w:rsidP="00BF5CB9">
                  <w:pPr>
                    <w:tabs>
                      <w:tab w:val="right" w:pos="6732"/>
                    </w:tabs>
                    <w:rPr>
                      <w:rFonts w:cs="Arial"/>
                      <w:sz w:val="20"/>
                      <w:szCs w:val="20"/>
                    </w:rPr>
                  </w:pPr>
                  <w:proofErr w:type="spellStart"/>
                  <w:r w:rsidRPr="00DC4E59">
                    <w:rPr>
                      <w:rFonts w:cs="Arial"/>
                      <w:sz w:val="20"/>
                      <w:szCs w:val="20"/>
                    </w:rPr>
                    <w:t>BldgType</w:t>
                  </w:r>
                  <w:proofErr w:type="spellEnd"/>
                </w:p>
              </w:tc>
              <w:tc>
                <w:tcPr>
                  <w:tcW w:w="973" w:type="pct"/>
                </w:tcPr>
                <w:p w14:paraId="621FA002" w14:textId="77777777" w:rsidR="00BF5CB9" w:rsidRPr="00DC4E59" w:rsidRDefault="00BF5CB9" w:rsidP="00BF5CB9">
                  <w:pPr>
                    <w:tabs>
                      <w:tab w:val="right" w:pos="6732"/>
                    </w:tabs>
                    <w:rPr>
                      <w:rFonts w:cs="Arial"/>
                      <w:sz w:val="20"/>
                      <w:szCs w:val="20"/>
                    </w:rPr>
                  </w:pPr>
                  <w:proofErr w:type="spellStart"/>
                  <w:r w:rsidRPr="00DC4E59">
                    <w:rPr>
                      <w:rFonts w:cs="Arial"/>
                      <w:sz w:val="20"/>
                      <w:szCs w:val="20"/>
                    </w:rPr>
                    <w:t>ProgDelivID</w:t>
                  </w:r>
                  <w:proofErr w:type="spellEnd"/>
                </w:p>
              </w:tc>
              <w:tc>
                <w:tcPr>
                  <w:tcW w:w="902" w:type="pct"/>
                </w:tcPr>
                <w:p w14:paraId="724A61FD" w14:textId="77777777" w:rsidR="00BF5CB9" w:rsidRPr="00DC4E59" w:rsidRDefault="00BF5CB9" w:rsidP="00BF5CB9">
                  <w:pPr>
                    <w:tabs>
                      <w:tab w:val="right" w:pos="6732"/>
                    </w:tabs>
                    <w:rPr>
                      <w:rFonts w:cs="Arial"/>
                      <w:sz w:val="20"/>
                      <w:szCs w:val="20"/>
                    </w:rPr>
                  </w:pPr>
                  <w:proofErr w:type="spellStart"/>
                  <w:r w:rsidRPr="00DC4E59">
                    <w:rPr>
                      <w:rFonts w:cs="Arial"/>
                      <w:sz w:val="20"/>
                      <w:szCs w:val="20"/>
                    </w:rPr>
                    <w:t>GSIAValue</w:t>
                  </w:r>
                  <w:proofErr w:type="spellEnd"/>
                </w:p>
              </w:tc>
            </w:tr>
            <w:tr w:rsidR="00FD0494" w:rsidRPr="00DC4E59" w14:paraId="66851E9F" w14:textId="77777777" w:rsidTr="009A6CB4">
              <w:trPr>
                <w:trHeight w:val="362"/>
                <w:jc w:val="center"/>
              </w:trPr>
              <w:tc>
                <w:tcPr>
                  <w:tcW w:w="758" w:type="pct"/>
                </w:tcPr>
                <w:p w14:paraId="0C1965B5" w14:textId="77777777" w:rsidR="00BF5CB9" w:rsidRPr="00DC4E59" w:rsidRDefault="00BF5CB9" w:rsidP="00BF5CB9">
                  <w:pPr>
                    <w:tabs>
                      <w:tab w:val="right" w:pos="6732"/>
                    </w:tabs>
                    <w:rPr>
                      <w:rFonts w:cs="Arial"/>
                      <w:sz w:val="20"/>
                      <w:szCs w:val="20"/>
                    </w:rPr>
                  </w:pPr>
                  <w:r w:rsidRPr="00DC4E59">
                    <w:rPr>
                      <w:rFonts w:cs="Arial"/>
                      <w:sz w:val="20"/>
                      <w:szCs w:val="20"/>
                    </w:rPr>
                    <w:t>Def-GSIA</w:t>
                  </w:r>
                </w:p>
              </w:tc>
              <w:tc>
                <w:tcPr>
                  <w:tcW w:w="970" w:type="pct"/>
                </w:tcPr>
                <w:p w14:paraId="455F8EA5" w14:textId="77777777" w:rsidR="00BF5CB9" w:rsidRPr="00DC4E59" w:rsidRDefault="00BF5CB9" w:rsidP="00BF5CB9">
                  <w:pPr>
                    <w:tabs>
                      <w:tab w:val="right" w:pos="6732"/>
                    </w:tabs>
                    <w:rPr>
                      <w:rFonts w:cs="Arial"/>
                      <w:sz w:val="20"/>
                      <w:szCs w:val="20"/>
                    </w:rPr>
                  </w:pPr>
                  <w:r w:rsidRPr="00DC4E59">
                    <w:rPr>
                      <w:rFonts w:cs="Arial"/>
                      <w:sz w:val="20"/>
                      <w:szCs w:val="20"/>
                    </w:rPr>
                    <w:t>Default GSIA</w:t>
                  </w:r>
                </w:p>
              </w:tc>
              <w:tc>
                <w:tcPr>
                  <w:tcW w:w="568" w:type="pct"/>
                </w:tcPr>
                <w:p w14:paraId="7DF02B20" w14:textId="77777777" w:rsidR="00BF5CB9" w:rsidRPr="00DC4E59" w:rsidRDefault="00BF5CB9" w:rsidP="00BF5CB9">
                  <w:pPr>
                    <w:tabs>
                      <w:tab w:val="right" w:pos="6732"/>
                    </w:tabs>
                    <w:rPr>
                      <w:rFonts w:cs="Arial"/>
                      <w:sz w:val="20"/>
                      <w:szCs w:val="20"/>
                    </w:rPr>
                  </w:pPr>
                  <w:r w:rsidRPr="00DC4E59">
                    <w:rPr>
                      <w:rFonts w:cs="Arial"/>
                      <w:sz w:val="20"/>
                      <w:szCs w:val="20"/>
                    </w:rPr>
                    <w:t>Any</w:t>
                  </w:r>
                </w:p>
              </w:tc>
              <w:tc>
                <w:tcPr>
                  <w:tcW w:w="829" w:type="pct"/>
                </w:tcPr>
                <w:p w14:paraId="01B36D01" w14:textId="77777777" w:rsidR="00BF5CB9" w:rsidRPr="00DC4E59" w:rsidRDefault="00BF5CB9" w:rsidP="00BF5CB9">
                  <w:pPr>
                    <w:tabs>
                      <w:tab w:val="right" w:pos="6732"/>
                    </w:tabs>
                    <w:rPr>
                      <w:rFonts w:cs="Arial"/>
                      <w:sz w:val="20"/>
                      <w:szCs w:val="20"/>
                    </w:rPr>
                  </w:pPr>
                  <w:r w:rsidRPr="00DC4E59">
                    <w:rPr>
                      <w:rFonts w:cs="Arial"/>
                      <w:sz w:val="20"/>
                      <w:szCs w:val="20"/>
                    </w:rPr>
                    <w:t>Any</w:t>
                  </w:r>
                </w:p>
              </w:tc>
              <w:tc>
                <w:tcPr>
                  <w:tcW w:w="973" w:type="pct"/>
                </w:tcPr>
                <w:p w14:paraId="5B6974F0" w14:textId="77777777" w:rsidR="00BF5CB9" w:rsidRPr="00DC4E59" w:rsidRDefault="00BF5CB9" w:rsidP="00BF5CB9">
                  <w:pPr>
                    <w:tabs>
                      <w:tab w:val="right" w:pos="6732"/>
                    </w:tabs>
                    <w:rPr>
                      <w:rFonts w:cs="Arial"/>
                      <w:sz w:val="20"/>
                      <w:szCs w:val="20"/>
                    </w:rPr>
                  </w:pPr>
                  <w:r w:rsidRPr="00DC4E59">
                    <w:rPr>
                      <w:rFonts w:cs="Arial"/>
                      <w:sz w:val="20"/>
                      <w:szCs w:val="20"/>
                    </w:rPr>
                    <w:t>Any</w:t>
                  </w:r>
                </w:p>
              </w:tc>
              <w:tc>
                <w:tcPr>
                  <w:tcW w:w="902" w:type="pct"/>
                </w:tcPr>
                <w:p w14:paraId="77B7F028" w14:textId="77777777" w:rsidR="00BF5CB9" w:rsidRPr="00DC4E59" w:rsidRDefault="00BF5CB9" w:rsidP="00BF5CB9">
                  <w:pPr>
                    <w:tabs>
                      <w:tab w:val="right" w:pos="6732"/>
                    </w:tabs>
                    <w:rPr>
                      <w:rFonts w:cs="Arial"/>
                      <w:sz w:val="20"/>
                      <w:szCs w:val="20"/>
                    </w:rPr>
                  </w:pPr>
                  <w:r w:rsidRPr="00DC4E59">
                    <w:rPr>
                      <w:rFonts w:cs="Arial"/>
                      <w:sz w:val="20"/>
                      <w:szCs w:val="20"/>
                    </w:rPr>
                    <w:t>1</w:t>
                  </w:r>
                </w:p>
              </w:tc>
            </w:tr>
          </w:tbl>
          <w:p w14:paraId="1BF4AFC7" w14:textId="77777777" w:rsidR="00BF5CB9" w:rsidRPr="00DC4E59" w:rsidRDefault="00BF5CB9" w:rsidP="00BF5CB9">
            <w:pPr>
              <w:tabs>
                <w:tab w:val="right" w:pos="6732"/>
              </w:tabs>
              <w:rPr>
                <w:rFonts w:cs="Arial"/>
                <w:sz w:val="20"/>
                <w:szCs w:val="20"/>
              </w:rPr>
            </w:pPr>
          </w:p>
        </w:tc>
      </w:tr>
      <w:tr w:rsidR="00BF5CB9" w14:paraId="701EC712" w14:textId="77777777" w:rsidTr="009A6CB4">
        <w:trPr>
          <w:cantSplit/>
        </w:trPr>
        <w:tc>
          <w:tcPr>
            <w:tcW w:w="1449" w:type="dxa"/>
            <w:vAlign w:val="center"/>
          </w:tcPr>
          <w:p w14:paraId="7326A9AD" w14:textId="77777777" w:rsidR="00BF5CB9" w:rsidRPr="00DC4E59" w:rsidRDefault="00BF5CB9" w:rsidP="00BF5CB9">
            <w:pPr>
              <w:jc w:val="right"/>
              <w:rPr>
                <w:sz w:val="20"/>
                <w:szCs w:val="20"/>
              </w:rPr>
            </w:pPr>
            <w:r w:rsidRPr="00DC4E59">
              <w:rPr>
                <w:sz w:val="20"/>
                <w:szCs w:val="20"/>
              </w:rPr>
              <w:t>Effective and Remaining Useful Life</w:t>
            </w:r>
          </w:p>
        </w:tc>
        <w:tc>
          <w:tcPr>
            <w:tcW w:w="8716" w:type="dxa"/>
          </w:tcPr>
          <w:p w14:paraId="2D4839D9" w14:textId="77777777" w:rsidR="00BF5CB9" w:rsidRDefault="00BF5CB9" w:rsidP="00BF5CB9">
            <w:pPr>
              <w:tabs>
                <w:tab w:val="right" w:pos="6732"/>
              </w:tabs>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6"/>
              <w:gridCol w:w="1339"/>
              <w:gridCol w:w="1393"/>
              <w:gridCol w:w="1003"/>
              <w:gridCol w:w="1015"/>
              <w:gridCol w:w="1415"/>
            </w:tblGrid>
            <w:tr w:rsidR="00BF5CB9" w:rsidRPr="0077159C" w14:paraId="48E9BD4F" w14:textId="77777777" w:rsidTr="009A6CB4">
              <w:trPr>
                <w:jc w:val="center"/>
              </w:trPr>
              <w:tc>
                <w:tcPr>
                  <w:tcW w:w="1386" w:type="dxa"/>
                </w:tcPr>
                <w:p w14:paraId="46E0182B" w14:textId="77777777" w:rsidR="00BF5CB9" w:rsidRPr="008109D1" w:rsidRDefault="00BF5CB9" w:rsidP="00BF5CB9">
                  <w:pPr>
                    <w:rPr>
                      <w:sz w:val="20"/>
                      <w:szCs w:val="20"/>
                    </w:rPr>
                  </w:pPr>
                  <w:r w:rsidRPr="008109D1">
                    <w:rPr>
                      <w:sz w:val="20"/>
                      <w:szCs w:val="20"/>
                    </w:rPr>
                    <w:t xml:space="preserve">Building type </w:t>
                  </w:r>
                </w:p>
              </w:tc>
              <w:tc>
                <w:tcPr>
                  <w:tcW w:w="1339" w:type="dxa"/>
                </w:tcPr>
                <w:p w14:paraId="1E0BF766" w14:textId="77777777" w:rsidR="00BF5CB9" w:rsidRPr="008109D1" w:rsidRDefault="00BF5CB9" w:rsidP="00BF5CB9">
                  <w:pPr>
                    <w:rPr>
                      <w:sz w:val="20"/>
                      <w:szCs w:val="20"/>
                    </w:rPr>
                  </w:pPr>
                  <w:proofErr w:type="spellStart"/>
                  <w:r w:rsidRPr="008109D1">
                    <w:rPr>
                      <w:sz w:val="20"/>
                      <w:szCs w:val="20"/>
                    </w:rPr>
                    <w:t>Bldg</w:t>
                  </w:r>
                  <w:proofErr w:type="spellEnd"/>
                  <w:r w:rsidRPr="008109D1">
                    <w:rPr>
                      <w:sz w:val="20"/>
                      <w:szCs w:val="20"/>
                    </w:rPr>
                    <w:t xml:space="preserve"> Vintage </w:t>
                  </w:r>
                </w:p>
              </w:tc>
              <w:tc>
                <w:tcPr>
                  <w:tcW w:w="1393" w:type="dxa"/>
                </w:tcPr>
                <w:p w14:paraId="4C1ECC5C" w14:textId="77777777" w:rsidR="00BF5CB9" w:rsidRPr="008109D1" w:rsidRDefault="00BF5CB9" w:rsidP="00BF5CB9">
                  <w:pPr>
                    <w:rPr>
                      <w:sz w:val="20"/>
                      <w:szCs w:val="20"/>
                    </w:rPr>
                  </w:pPr>
                  <w:r w:rsidRPr="008109D1">
                    <w:rPr>
                      <w:sz w:val="20"/>
                      <w:szCs w:val="20"/>
                    </w:rPr>
                    <w:t xml:space="preserve">Climate Zone </w:t>
                  </w:r>
                </w:p>
              </w:tc>
              <w:tc>
                <w:tcPr>
                  <w:tcW w:w="1003" w:type="dxa"/>
                </w:tcPr>
                <w:p w14:paraId="5492CA20" w14:textId="77777777" w:rsidR="00BF5CB9" w:rsidRPr="008109D1" w:rsidRDefault="00BF5CB9" w:rsidP="00BF5CB9">
                  <w:pPr>
                    <w:rPr>
                      <w:sz w:val="20"/>
                      <w:szCs w:val="20"/>
                    </w:rPr>
                  </w:pPr>
                  <w:r w:rsidRPr="008109D1">
                    <w:rPr>
                      <w:sz w:val="20"/>
                      <w:szCs w:val="20"/>
                    </w:rPr>
                    <w:t>EUL (</w:t>
                  </w:r>
                  <w:proofErr w:type="spellStart"/>
                  <w:r w:rsidRPr="008109D1">
                    <w:rPr>
                      <w:sz w:val="20"/>
                      <w:szCs w:val="20"/>
                    </w:rPr>
                    <w:t>yrs</w:t>
                  </w:r>
                  <w:proofErr w:type="spellEnd"/>
                  <w:r w:rsidRPr="008109D1">
                    <w:rPr>
                      <w:sz w:val="20"/>
                      <w:szCs w:val="20"/>
                    </w:rPr>
                    <w:t>)</w:t>
                  </w:r>
                </w:p>
              </w:tc>
              <w:tc>
                <w:tcPr>
                  <w:tcW w:w="1015" w:type="dxa"/>
                </w:tcPr>
                <w:p w14:paraId="1E610C43" w14:textId="77777777" w:rsidR="00BF5CB9" w:rsidRPr="008109D1" w:rsidRDefault="00BF5CB9" w:rsidP="00BF5CB9">
                  <w:pPr>
                    <w:rPr>
                      <w:sz w:val="20"/>
                      <w:szCs w:val="20"/>
                    </w:rPr>
                  </w:pPr>
                  <w:r w:rsidRPr="008109D1">
                    <w:rPr>
                      <w:sz w:val="20"/>
                      <w:szCs w:val="20"/>
                    </w:rPr>
                    <w:t>RUL (</w:t>
                  </w:r>
                  <w:proofErr w:type="spellStart"/>
                  <w:r w:rsidRPr="008109D1">
                    <w:rPr>
                      <w:sz w:val="20"/>
                      <w:szCs w:val="20"/>
                    </w:rPr>
                    <w:t>yrs</w:t>
                  </w:r>
                  <w:proofErr w:type="spellEnd"/>
                  <w:r w:rsidRPr="008109D1">
                    <w:rPr>
                      <w:sz w:val="20"/>
                      <w:szCs w:val="20"/>
                    </w:rPr>
                    <w:t>)</w:t>
                  </w:r>
                </w:p>
              </w:tc>
              <w:tc>
                <w:tcPr>
                  <w:tcW w:w="1415" w:type="dxa"/>
                </w:tcPr>
                <w:p w14:paraId="0C2029A1" w14:textId="77777777" w:rsidR="00BF5CB9" w:rsidRPr="008109D1" w:rsidRDefault="00BF5CB9" w:rsidP="00BF5CB9">
                  <w:pPr>
                    <w:rPr>
                      <w:sz w:val="20"/>
                      <w:szCs w:val="20"/>
                    </w:rPr>
                  </w:pPr>
                  <w:r w:rsidRPr="008109D1">
                    <w:rPr>
                      <w:sz w:val="20"/>
                      <w:szCs w:val="20"/>
                    </w:rPr>
                    <w:t>DEER Version</w:t>
                  </w:r>
                </w:p>
              </w:tc>
            </w:tr>
            <w:tr w:rsidR="00BF5CB9" w:rsidRPr="0077159C" w14:paraId="07DC205C" w14:textId="77777777" w:rsidTr="009A6CB4">
              <w:trPr>
                <w:jc w:val="center"/>
              </w:trPr>
              <w:tc>
                <w:tcPr>
                  <w:tcW w:w="1386" w:type="dxa"/>
                </w:tcPr>
                <w:p w14:paraId="4A1065E7" w14:textId="77777777" w:rsidR="00BF5CB9" w:rsidRPr="008109D1" w:rsidRDefault="00BF5CB9" w:rsidP="00BF5CB9">
                  <w:pPr>
                    <w:rPr>
                      <w:sz w:val="20"/>
                      <w:szCs w:val="20"/>
                    </w:rPr>
                  </w:pPr>
                  <w:r w:rsidRPr="008109D1">
                    <w:rPr>
                      <w:sz w:val="20"/>
                      <w:szCs w:val="20"/>
                    </w:rPr>
                    <w:t>ALL</w:t>
                  </w:r>
                </w:p>
              </w:tc>
              <w:tc>
                <w:tcPr>
                  <w:tcW w:w="1339" w:type="dxa"/>
                </w:tcPr>
                <w:p w14:paraId="72221F77" w14:textId="77777777" w:rsidR="00BF5CB9" w:rsidRPr="008109D1" w:rsidRDefault="00BF5CB9" w:rsidP="00BF5CB9">
                  <w:pPr>
                    <w:rPr>
                      <w:sz w:val="20"/>
                      <w:szCs w:val="20"/>
                    </w:rPr>
                  </w:pPr>
                  <w:r w:rsidRPr="008109D1">
                    <w:rPr>
                      <w:sz w:val="20"/>
                      <w:szCs w:val="20"/>
                    </w:rPr>
                    <w:t>AV</w:t>
                  </w:r>
                </w:p>
              </w:tc>
              <w:tc>
                <w:tcPr>
                  <w:tcW w:w="1393" w:type="dxa"/>
                </w:tcPr>
                <w:p w14:paraId="221DFC30" w14:textId="77777777" w:rsidR="00BF5CB9" w:rsidRPr="008109D1" w:rsidRDefault="00BF5CB9" w:rsidP="00BF5CB9">
                  <w:pPr>
                    <w:rPr>
                      <w:sz w:val="20"/>
                      <w:szCs w:val="20"/>
                    </w:rPr>
                  </w:pPr>
                  <w:r w:rsidRPr="008109D1">
                    <w:rPr>
                      <w:sz w:val="20"/>
                      <w:szCs w:val="20"/>
                    </w:rPr>
                    <w:t>ALL</w:t>
                  </w:r>
                </w:p>
              </w:tc>
              <w:tc>
                <w:tcPr>
                  <w:tcW w:w="1003" w:type="dxa"/>
                </w:tcPr>
                <w:p w14:paraId="73607CE6" w14:textId="77777777" w:rsidR="00BF5CB9" w:rsidRPr="008109D1" w:rsidRDefault="00BF5CB9" w:rsidP="00BF5CB9">
                  <w:pPr>
                    <w:rPr>
                      <w:sz w:val="20"/>
                      <w:szCs w:val="20"/>
                    </w:rPr>
                  </w:pPr>
                  <w:r w:rsidRPr="008109D1">
                    <w:rPr>
                      <w:sz w:val="20"/>
                      <w:szCs w:val="20"/>
                    </w:rPr>
                    <w:t>20</w:t>
                  </w:r>
                </w:p>
              </w:tc>
              <w:tc>
                <w:tcPr>
                  <w:tcW w:w="1015" w:type="dxa"/>
                </w:tcPr>
                <w:p w14:paraId="57A47DFD" w14:textId="77777777" w:rsidR="00BF5CB9" w:rsidRPr="008109D1" w:rsidRDefault="00BF5CB9" w:rsidP="00BF5CB9">
                  <w:pPr>
                    <w:rPr>
                      <w:sz w:val="20"/>
                      <w:szCs w:val="20"/>
                    </w:rPr>
                  </w:pPr>
                  <w:r w:rsidRPr="008109D1">
                    <w:rPr>
                      <w:sz w:val="20"/>
                      <w:szCs w:val="20"/>
                    </w:rPr>
                    <w:t>0</w:t>
                  </w:r>
                </w:p>
              </w:tc>
              <w:tc>
                <w:tcPr>
                  <w:tcW w:w="1415" w:type="dxa"/>
                </w:tcPr>
                <w:p w14:paraId="5C822541" w14:textId="77777777" w:rsidR="00BF5CB9" w:rsidRPr="008109D1" w:rsidRDefault="00BF5CB9" w:rsidP="00BF5CB9">
                  <w:pPr>
                    <w:rPr>
                      <w:sz w:val="20"/>
                      <w:szCs w:val="20"/>
                    </w:rPr>
                  </w:pPr>
                  <w:r w:rsidRPr="008109D1">
                    <w:rPr>
                      <w:sz w:val="20"/>
                      <w:szCs w:val="20"/>
                    </w:rPr>
                    <w:t>DEER2017</w:t>
                  </w:r>
                </w:p>
              </w:tc>
            </w:tr>
          </w:tbl>
          <w:p w14:paraId="22D2128F" w14:textId="77777777" w:rsidR="00BF5CB9" w:rsidRPr="00DC4E59" w:rsidRDefault="00BF5CB9" w:rsidP="00BF5CB9">
            <w:pPr>
              <w:tabs>
                <w:tab w:val="right" w:pos="6732"/>
              </w:tabs>
              <w:rPr>
                <w:rFonts w:cs="Arial"/>
                <w:sz w:val="20"/>
                <w:szCs w:val="20"/>
              </w:rPr>
            </w:pPr>
          </w:p>
        </w:tc>
      </w:tr>
      <w:tr w:rsidR="00BF5CB9" w14:paraId="248D376C" w14:textId="77777777" w:rsidTr="009A6CB4">
        <w:trPr>
          <w:cantSplit/>
        </w:trPr>
        <w:tc>
          <w:tcPr>
            <w:tcW w:w="1449" w:type="dxa"/>
            <w:vAlign w:val="center"/>
          </w:tcPr>
          <w:p w14:paraId="67C7F68C" w14:textId="77777777" w:rsidR="00BF5CB9" w:rsidRPr="00B91BFF" w:rsidRDefault="00BF5CB9" w:rsidP="00BF5CB9">
            <w:pPr>
              <w:rPr>
                <w:b/>
                <w:szCs w:val="22"/>
              </w:rPr>
            </w:pPr>
            <w:r w:rsidRPr="00B91BFF">
              <w:rPr>
                <w:b/>
                <w:szCs w:val="22"/>
              </w:rPr>
              <w:lastRenderedPageBreak/>
              <w:t>Section 2. Calculation Methodology</w:t>
            </w:r>
          </w:p>
        </w:tc>
        <w:tc>
          <w:tcPr>
            <w:tcW w:w="8716" w:type="dxa"/>
            <w:vAlign w:val="center"/>
          </w:tcPr>
          <w:p w14:paraId="7D4A402F" w14:textId="77777777" w:rsidR="00BF5CB9" w:rsidRPr="00B91BFF" w:rsidRDefault="00BF5CB9" w:rsidP="00BF5CB9">
            <w:pPr>
              <w:pStyle w:val="ListParagraph"/>
              <w:ind w:left="360"/>
              <w:rPr>
                <w:rFonts w:cs="Arial"/>
                <w:sz w:val="20"/>
                <w:szCs w:val="20"/>
              </w:rPr>
            </w:pPr>
          </w:p>
        </w:tc>
      </w:tr>
      <w:tr w:rsidR="00BF5CB9" w14:paraId="3931C2EB" w14:textId="77777777" w:rsidTr="009A6CB4">
        <w:trPr>
          <w:cantSplit/>
        </w:trPr>
        <w:tc>
          <w:tcPr>
            <w:tcW w:w="1449" w:type="dxa"/>
            <w:vAlign w:val="center"/>
          </w:tcPr>
          <w:p w14:paraId="5893F6E3" w14:textId="77777777" w:rsidR="00BF5CB9" w:rsidRPr="00DC4E59" w:rsidRDefault="00BF5CB9" w:rsidP="00BF5CB9">
            <w:pPr>
              <w:jc w:val="right"/>
              <w:rPr>
                <w:sz w:val="20"/>
                <w:szCs w:val="20"/>
              </w:rPr>
            </w:pPr>
            <w:r w:rsidRPr="00DC4E59">
              <w:rPr>
                <w:rFonts w:cs="Arial"/>
                <w:sz w:val="20"/>
                <w:szCs w:val="20"/>
              </w:rPr>
              <w:t>Energy Savings/Peak Demand Reduction – All Measures</w:t>
            </w:r>
          </w:p>
        </w:tc>
        <w:tc>
          <w:tcPr>
            <w:tcW w:w="8716" w:type="dxa"/>
          </w:tcPr>
          <w:p w14:paraId="3F733556" w14:textId="77777777" w:rsidR="00675142" w:rsidRPr="00675142" w:rsidRDefault="00675142" w:rsidP="00675142">
            <w:pPr>
              <w:pStyle w:val="PR1"/>
              <w:numPr>
                <w:ilvl w:val="2"/>
                <w:numId w:val="18"/>
              </w:numPr>
              <w:tabs>
                <w:tab w:val="clear" w:pos="522"/>
                <w:tab w:val="num" w:pos="1152"/>
              </w:tabs>
              <w:rPr>
                <w:rFonts w:asciiTheme="minorHAnsi" w:eastAsia="Times New Roman" w:hAnsiTheme="minorHAnsi" w:cs="Arial"/>
              </w:rPr>
            </w:pPr>
            <w:r w:rsidRPr="00675142">
              <w:rPr>
                <w:rFonts w:asciiTheme="minorHAnsi" w:eastAsia="Times New Roman" w:hAnsiTheme="minorHAnsi" w:cs="Arial"/>
              </w:rPr>
              <w:t xml:space="preserve">Annual Gas Energy Savings  </w:t>
            </w:r>
          </w:p>
          <w:p w14:paraId="41D1FA09" w14:textId="77777777" w:rsidR="00675142" w:rsidRPr="00675142" w:rsidRDefault="00675142" w:rsidP="00675142">
            <w:pPr>
              <w:pStyle w:val="PR2"/>
              <w:rPr>
                <w:rFonts w:asciiTheme="minorHAnsi" w:eastAsia="Times New Roman" w:hAnsiTheme="minorHAnsi" w:cs="Arial"/>
              </w:rPr>
            </w:pPr>
            <w:r w:rsidRPr="00675142">
              <w:rPr>
                <w:rFonts w:asciiTheme="minorHAnsi" w:eastAsia="Times New Roman" w:hAnsiTheme="minorHAnsi" w:cs="Arial"/>
              </w:rPr>
              <w:t xml:space="preserve">This measure </w:t>
            </w:r>
            <w:proofErr w:type="gramStart"/>
            <w:r w:rsidRPr="00675142">
              <w:rPr>
                <w:rFonts w:asciiTheme="minorHAnsi" w:eastAsia="Times New Roman" w:hAnsiTheme="minorHAnsi" w:cs="Arial"/>
              </w:rPr>
              <w:t>is located in</w:t>
            </w:r>
            <w:proofErr w:type="gramEnd"/>
            <w:r w:rsidRPr="00675142">
              <w:rPr>
                <w:rFonts w:asciiTheme="minorHAnsi" w:eastAsia="Times New Roman" w:hAnsiTheme="minorHAnsi" w:cs="Arial"/>
              </w:rPr>
              <w:t xml:space="preserve"> the DEER 2017 database; gas impact savings were extracted from the READI tool and are used for these measures.</w:t>
            </w:r>
          </w:p>
          <w:p w14:paraId="2F720449" w14:textId="77777777" w:rsidR="00675142" w:rsidRPr="00675142" w:rsidRDefault="00675142" w:rsidP="00675142">
            <w:pPr>
              <w:pStyle w:val="PR2"/>
              <w:rPr>
                <w:rFonts w:asciiTheme="minorHAnsi" w:eastAsia="Times New Roman" w:hAnsiTheme="minorHAnsi" w:cs="Arial"/>
              </w:rPr>
            </w:pPr>
            <w:r w:rsidRPr="00675142">
              <w:rPr>
                <w:rFonts w:asciiTheme="minorHAnsi" w:eastAsia="Times New Roman" w:hAnsiTheme="minorHAnsi" w:cs="Arial"/>
              </w:rPr>
              <w:t xml:space="preserve">The 2017 Database for Energy Efficient Resources (DEER2017) v2.4.7 [3] data include: gas energy savings for these measures (Res-GasFurnace-AFUE92, Res-GasFurnace-AFUE95, Res-GasFurnace-AFUE96, and Res-GasFurnace-AFUE97). Gas impact savings for these measures were pulled directly from the DEER READI tool for each climate zone and IOU that serves gas customers within California. The breakout by IOU was made because DEER shows different savings values by IOU in the same climate zone; see “Measure Summary table and Savings Calculations” spreadsheet for the range of savings. </w:t>
            </w:r>
          </w:p>
          <w:p w14:paraId="441B3644" w14:textId="0E6A881B" w:rsidR="00675142" w:rsidRPr="00675142" w:rsidRDefault="00675142" w:rsidP="00675142">
            <w:pPr>
              <w:pStyle w:val="PR2"/>
              <w:rPr>
                <w:rFonts w:asciiTheme="minorHAnsi" w:eastAsia="Times New Roman" w:hAnsiTheme="minorHAnsi" w:cs="Arial"/>
              </w:rPr>
            </w:pPr>
            <w:r w:rsidRPr="00675142">
              <w:rPr>
                <w:rFonts w:asciiTheme="minorHAnsi" w:eastAsia="Times New Roman" w:hAnsiTheme="minorHAnsi" w:cs="Arial"/>
              </w:rPr>
              <w:t xml:space="preserve">Annual </w:t>
            </w:r>
            <w:proofErr w:type="spellStart"/>
            <w:r w:rsidRPr="00675142">
              <w:rPr>
                <w:rFonts w:asciiTheme="minorHAnsi" w:eastAsia="Times New Roman" w:hAnsiTheme="minorHAnsi" w:cs="Arial"/>
              </w:rPr>
              <w:t>therm</w:t>
            </w:r>
            <w:proofErr w:type="spellEnd"/>
            <w:r w:rsidRPr="00675142">
              <w:rPr>
                <w:rFonts w:asciiTheme="minorHAnsi" w:eastAsia="Times New Roman" w:hAnsiTheme="minorHAnsi" w:cs="Arial"/>
              </w:rPr>
              <w:t xml:space="preserve"> savings for this measure has been calculated in therms per </w:t>
            </w:r>
            <w:proofErr w:type="spellStart"/>
            <w:r w:rsidRPr="00675142">
              <w:rPr>
                <w:rFonts w:asciiTheme="minorHAnsi" w:eastAsia="Times New Roman" w:hAnsiTheme="minorHAnsi" w:cs="Arial"/>
              </w:rPr>
              <w:t>kBTUh</w:t>
            </w:r>
            <w:proofErr w:type="spellEnd"/>
            <w:r w:rsidRPr="00675142">
              <w:rPr>
                <w:rFonts w:asciiTheme="minorHAnsi" w:eastAsia="Times New Roman" w:hAnsiTheme="minorHAnsi" w:cs="Arial"/>
              </w:rPr>
              <w:t xml:space="preserve">. </w:t>
            </w:r>
          </w:p>
          <w:p w14:paraId="62FDAF0F" w14:textId="77777777" w:rsidR="00BF5CB9" w:rsidRPr="00DC4E59" w:rsidRDefault="00BF5CB9" w:rsidP="00BF5CB9">
            <w:pPr>
              <w:tabs>
                <w:tab w:val="right" w:pos="6732"/>
              </w:tabs>
              <w:rPr>
                <w:rFonts w:cs="Arial"/>
                <w:sz w:val="20"/>
                <w:szCs w:val="20"/>
              </w:rPr>
            </w:pPr>
          </w:p>
        </w:tc>
      </w:tr>
      <w:tr w:rsidR="00BF5CB9" w14:paraId="3E31CEB3" w14:textId="77777777" w:rsidTr="009A6CB4">
        <w:trPr>
          <w:cantSplit/>
        </w:trPr>
        <w:tc>
          <w:tcPr>
            <w:tcW w:w="1449" w:type="dxa"/>
            <w:vAlign w:val="center"/>
          </w:tcPr>
          <w:p w14:paraId="450F7D80" w14:textId="77777777" w:rsidR="00BF5CB9" w:rsidRPr="00B91BFF" w:rsidRDefault="00BF5CB9" w:rsidP="00BF5CB9">
            <w:pPr>
              <w:rPr>
                <w:b/>
                <w:szCs w:val="22"/>
              </w:rPr>
            </w:pPr>
            <w:r w:rsidRPr="00B91BFF">
              <w:rPr>
                <w:b/>
                <w:szCs w:val="22"/>
              </w:rPr>
              <w:t>Section 3. Load Shapes</w:t>
            </w:r>
          </w:p>
        </w:tc>
        <w:tc>
          <w:tcPr>
            <w:tcW w:w="8716" w:type="dxa"/>
          </w:tcPr>
          <w:p w14:paraId="7E4E5FF4" w14:textId="77777777" w:rsidR="00675142" w:rsidRDefault="00675142" w:rsidP="00BF5CB9">
            <w:pPr>
              <w:tabs>
                <w:tab w:val="right" w:pos="6732"/>
              </w:tabs>
              <w:rPr>
                <w:rFonts w:cs="Arial"/>
                <w:sz w:val="20"/>
                <w:szCs w:val="20"/>
              </w:rPr>
            </w:pPr>
          </w:p>
          <w:p w14:paraId="1FC40649" w14:textId="77777777" w:rsidR="00BF5CB9" w:rsidRPr="00DC4E59" w:rsidRDefault="00675142" w:rsidP="00BF5CB9">
            <w:pPr>
              <w:tabs>
                <w:tab w:val="right" w:pos="6732"/>
              </w:tabs>
              <w:rPr>
                <w:rFonts w:cs="Arial"/>
                <w:sz w:val="20"/>
                <w:szCs w:val="20"/>
              </w:rPr>
            </w:pPr>
            <w:r>
              <w:rPr>
                <w:rFonts w:cs="Arial"/>
                <w:sz w:val="20"/>
                <w:szCs w:val="20"/>
              </w:rPr>
              <w:t>N/A</w:t>
            </w:r>
          </w:p>
        </w:tc>
      </w:tr>
      <w:tr w:rsidR="00BF5CB9" w14:paraId="7144C4A8" w14:textId="77777777" w:rsidTr="009A6CB4">
        <w:trPr>
          <w:cantSplit/>
        </w:trPr>
        <w:tc>
          <w:tcPr>
            <w:tcW w:w="1449" w:type="dxa"/>
            <w:vAlign w:val="center"/>
          </w:tcPr>
          <w:p w14:paraId="17D37B00" w14:textId="77777777" w:rsidR="00BF5CB9" w:rsidRPr="00B91BFF" w:rsidRDefault="00BF5CB9" w:rsidP="00BF5CB9">
            <w:pPr>
              <w:rPr>
                <w:b/>
                <w:szCs w:val="22"/>
              </w:rPr>
            </w:pPr>
            <w:r w:rsidRPr="00B91BFF">
              <w:rPr>
                <w:b/>
                <w:szCs w:val="22"/>
              </w:rPr>
              <w:t>Section 4. Costs</w:t>
            </w:r>
          </w:p>
        </w:tc>
        <w:tc>
          <w:tcPr>
            <w:tcW w:w="8716" w:type="dxa"/>
          </w:tcPr>
          <w:p w14:paraId="27227DE7" w14:textId="2A7ED666" w:rsidR="00BF5CB9" w:rsidRPr="00DC4E59" w:rsidRDefault="00BF5CB9" w:rsidP="00BF5CB9">
            <w:pPr>
              <w:rPr>
                <w:rFonts w:cs="Arial"/>
                <w:sz w:val="20"/>
                <w:szCs w:val="20"/>
              </w:rPr>
            </w:pPr>
            <w:r w:rsidRPr="00DC4E59">
              <w:rPr>
                <w:rFonts w:cs="Arial"/>
                <w:sz w:val="20"/>
                <w:szCs w:val="20"/>
              </w:rPr>
              <w:t>All cost adopted</w:t>
            </w:r>
            <w:r>
              <w:rPr>
                <w:rFonts w:cs="Arial"/>
                <w:sz w:val="20"/>
                <w:szCs w:val="20"/>
              </w:rPr>
              <w:t xml:space="preserve"> and </w:t>
            </w:r>
            <w:r w:rsidRPr="00BC4DD2">
              <w:rPr>
                <w:rFonts w:cs="Arial"/>
                <w:sz w:val="20"/>
                <w:szCs w:val="20"/>
              </w:rPr>
              <w:t>cited from “</w:t>
            </w:r>
            <w:r w:rsidR="00B1283D" w:rsidRPr="00BC4DD2">
              <w:rPr>
                <w:i/>
                <w:sz w:val="20"/>
                <w:szCs w:val="20"/>
              </w:rPr>
              <w:t xml:space="preserve">WPSCGREHC130115A-Rev04_Res_HE Furnaces </w:t>
            </w:r>
            <w:proofErr w:type="gramStart"/>
            <w:r w:rsidR="00B1283D" w:rsidRPr="00BC4DD2">
              <w:rPr>
                <w:i/>
                <w:sz w:val="20"/>
                <w:szCs w:val="20"/>
              </w:rPr>
              <w:t>workpaper</w:t>
            </w:r>
            <w:r w:rsidR="00B1283D" w:rsidRPr="00BC4DD2" w:rsidDel="00B1283D">
              <w:rPr>
                <w:rFonts w:cs="Arial"/>
                <w:sz w:val="20"/>
                <w:szCs w:val="20"/>
              </w:rPr>
              <w:t xml:space="preserve"> </w:t>
            </w:r>
            <w:r w:rsidRPr="00BC4DD2">
              <w:rPr>
                <w:rFonts w:cs="Arial"/>
                <w:sz w:val="20"/>
                <w:szCs w:val="20"/>
              </w:rPr>
              <w:t>”</w:t>
            </w:r>
            <w:proofErr w:type="gramEnd"/>
            <w:r w:rsidRPr="00BC4DD2">
              <w:rPr>
                <w:rFonts w:cs="Arial"/>
                <w:sz w:val="20"/>
                <w:szCs w:val="20"/>
              </w:rPr>
              <w:t xml:space="preserve"> .</w:t>
            </w:r>
            <w:r w:rsidR="00077F57">
              <w:rPr>
                <w:rFonts w:cs="Arial"/>
                <w:sz w:val="20"/>
                <w:szCs w:val="20"/>
              </w:rPr>
              <w:t xml:space="preserve"> </w:t>
            </w:r>
          </w:p>
        </w:tc>
      </w:tr>
      <w:tr w:rsidR="00BF5CB9" w:rsidRPr="00393EC8" w14:paraId="5F3C934C" w14:textId="77777777" w:rsidTr="009A6CB4">
        <w:trPr>
          <w:cantSplit/>
        </w:trPr>
        <w:tc>
          <w:tcPr>
            <w:tcW w:w="1449" w:type="dxa"/>
          </w:tcPr>
          <w:p w14:paraId="763954A5" w14:textId="77777777" w:rsidR="00BF5CB9" w:rsidRPr="00B91BFF" w:rsidRDefault="00BF5CB9" w:rsidP="00BF5CB9">
            <w:pPr>
              <w:rPr>
                <w:b/>
                <w:szCs w:val="22"/>
              </w:rPr>
            </w:pPr>
            <w:r w:rsidRPr="00B91BFF">
              <w:rPr>
                <w:b/>
                <w:szCs w:val="22"/>
              </w:rPr>
              <w:t>Section 4.1 Modeled Costs</w:t>
            </w:r>
          </w:p>
        </w:tc>
        <w:tc>
          <w:tcPr>
            <w:tcW w:w="8716" w:type="dxa"/>
          </w:tcPr>
          <w:p w14:paraId="10712246" w14:textId="4C40393D" w:rsidR="00BF5CB9" w:rsidRPr="00DC4E59" w:rsidRDefault="00BF5CB9" w:rsidP="00BF5CB9">
            <w:pPr>
              <w:rPr>
                <w:sz w:val="20"/>
                <w:szCs w:val="20"/>
              </w:rPr>
            </w:pPr>
          </w:p>
        </w:tc>
      </w:tr>
      <w:tr w:rsidR="00BF5CB9" w14:paraId="0118DE16" w14:textId="77777777" w:rsidTr="009A6CB4">
        <w:trPr>
          <w:cantSplit/>
        </w:trPr>
        <w:tc>
          <w:tcPr>
            <w:tcW w:w="1449" w:type="dxa"/>
          </w:tcPr>
          <w:p w14:paraId="0A6B8A71" w14:textId="1BF0D383" w:rsidR="00BF5CB9" w:rsidRDefault="00BF5CB9" w:rsidP="00BF5CB9">
            <w:pPr>
              <w:jc w:val="right"/>
              <w:rPr>
                <w:sz w:val="20"/>
                <w:szCs w:val="20"/>
              </w:rPr>
            </w:pPr>
            <w:r w:rsidRPr="00DC4E59">
              <w:rPr>
                <w:sz w:val="20"/>
                <w:szCs w:val="20"/>
              </w:rPr>
              <w:t xml:space="preserve"> </w:t>
            </w:r>
          </w:p>
          <w:p w14:paraId="66AF24C7" w14:textId="77777777" w:rsidR="00D92542" w:rsidRDefault="00D92542" w:rsidP="00BF5CB9">
            <w:pPr>
              <w:jc w:val="right"/>
              <w:rPr>
                <w:sz w:val="20"/>
                <w:szCs w:val="20"/>
              </w:rPr>
            </w:pPr>
          </w:p>
          <w:p w14:paraId="1CB53609" w14:textId="77777777" w:rsidR="00D92542" w:rsidRDefault="00D92542" w:rsidP="00BF5CB9">
            <w:pPr>
              <w:jc w:val="right"/>
              <w:rPr>
                <w:sz w:val="20"/>
                <w:szCs w:val="20"/>
              </w:rPr>
            </w:pPr>
          </w:p>
          <w:p w14:paraId="26D17DC7" w14:textId="77777777" w:rsidR="00D92542" w:rsidRDefault="00D92542" w:rsidP="00BF5CB9">
            <w:pPr>
              <w:jc w:val="right"/>
              <w:rPr>
                <w:sz w:val="20"/>
                <w:szCs w:val="20"/>
              </w:rPr>
            </w:pPr>
          </w:p>
          <w:p w14:paraId="34579C9D" w14:textId="77777777" w:rsidR="00D92542" w:rsidRDefault="00D92542" w:rsidP="00BF5CB9">
            <w:pPr>
              <w:jc w:val="right"/>
              <w:rPr>
                <w:sz w:val="20"/>
                <w:szCs w:val="20"/>
              </w:rPr>
            </w:pPr>
          </w:p>
          <w:p w14:paraId="064A99B1" w14:textId="77777777" w:rsidR="00D92542" w:rsidRDefault="00D92542" w:rsidP="00BF5CB9">
            <w:pPr>
              <w:jc w:val="right"/>
              <w:rPr>
                <w:sz w:val="20"/>
                <w:szCs w:val="20"/>
              </w:rPr>
            </w:pPr>
          </w:p>
          <w:p w14:paraId="7613F234" w14:textId="77777777" w:rsidR="00D92542" w:rsidRDefault="00D92542" w:rsidP="00BF5CB9">
            <w:pPr>
              <w:jc w:val="right"/>
              <w:rPr>
                <w:sz w:val="20"/>
                <w:szCs w:val="20"/>
              </w:rPr>
            </w:pPr>
          </w:p>
          <w:p w14:paraId="31EBA978" w14:textId="246F14CC" w:rsidR="00D92542" w:rsidRPr="00DC4E59" w:rsidRDefault="00D92542" w:rsidP="00BF5CB9">
            <w:pPr>
              <w:jc w:val="right"/>
              <w:rPr>
                <w:sz w:val="20"/>
                <w:szCs w:val="20"/>
              </w:rPr>
            </w:pPr>
          </w:p>
        </w:tc>
        <w:tc>
          <w:tcPr>
            <w:tcW w:w="8716" w:type="dxa"/>
          </w:tcPr>
          <w:p w14:paraId="38D138C9" w14:textId="77777777" w:rsidR="00BF5CB9" w:rsidRDefault="00BF5CB9" w:rsidP="00BF5CB9">
            <w:pPr>
              <w:rPr>
                <w:color w:val="FF0000"/>
              </w:rPr>
            </w:pPr>
          </w:p>
          <w:p w14:paraId="4D7C48D7" w14:textId="41AECD87" w:rsidR="00B14522" w:rsidRPr="008109D1" w:rsidRDefault="00D92542" w:rsidP="00B14522">
            <w:pPr>
              <w:rPr>
                <w:sz w:val="20"/>
                <w:szCs w:val="20"/>
              </w:rPr>
            </w:pPr>
            <w:r>
              <w:rPr>
                <w:sz w:val="20"/>
                <w:szCs w:val="20"/>
              </w:rPr>
              <w:t xml:space="preserve">The Base Case Cost, and Measure Costs </w:t>
            </w:r>
            <w:proofErr w:type="gramStart"/>
            <w:r w:rsidR="00612CDA">
              <w:rPr>
                <w:sz w:val="20"/>
                <w:szCs w:val="20"/>
              </w:rPr>
              <w:t>are</w:t>
            </w:r>
            <w:r w:rsidR="0072304A">
              <w:rPr>
                <w:sz w:val="20"/>
                <w:szCs w:val="20"/>
              </w:rPr>
              <w:t xml:space="preserve"> located in</w:t>
            </w:r>
            <w:proofErr w:type="gramEnd"/>
            <w:r>
              <w:rPr>
                <w:sz w:val="20"/>
                <w:szCs w:val="20"/>
              </w:rPr>
              <w:t xml:space="preserve"> the table below:</w:t>
            </w:r>
          </w:p>
          <w:p w14:paraId="3403476F" w14:textId="77777777" w:rsidR="00B14522" w:rsidRPr="008109D1" w:rsidRDefault="00B14522" w:rsidP="00BF5CB9">
            <w:pPr>
              <w:rPr>
                <w:color w:val="FF0000"/>
                <w:sz w:val="20"/>
                <w:szCs w:val="20"/>
              </w:rPr>
            </w:pPr>
          </w:p>
          <w:p w14:paraId="7CD8334E" w14:textId="503FBF2F" w:rsidR="00F36B9B" w:rsidRPr="008109D1" w:rsidRDefault="00F36B9B" w:rsidP="00D92542">
            <w:pPr>
              <w:pStyle w:val="Caption"/>
              <w:jc w:val="center"/>
              <w:rPr>
                <w:sz w:val="20"/>
                <w:szCs w:val="20"/>
              </w:rPr>
            </w:pPr>
            <w:bookmarkStart w:id="3" w:name="_Toc327873666"/>
            <w:bookmarkStart w:id="4" w:name="_Toc355245888"/>
            <w:bookmarkStart w:id="5" w:name="_Toc384913199"/>
            <w:r w:rsidRPr="008109D1">
              <w:rPr>
                <w:sz w:val="20"/>
                <w:szCs w:val="20"/>
              </w:rPr>
              <w:t xml:space="preserve">Base Case </w:t>
            </w:r>
            <w:bookmarkEnd w:id="3"/>
            <w:bookmarkEnd w:id="4"/>
            <w:bookmarkEnd w:id="5"/>
            <w:r w:rsidR="00012876">
              <w:rPr>
                <w:sz w:val="20"/>
                <w:szCs w:val="20"/>
              </w:rPr>
              <w:t>and Measure Case</w:t>
            </w:r>
            <w:r w:rsidR="003F5D04">
              <w:rPr>
                <w:sz w:val="20"/>
                <w:szCs w:val="20"/>
              </w:rPr>
              <w:t xml:space="preserve"> cost analysis ($/</w:t>
            </w:r>
            <w:proofErr w:type="spellStart"/>
            <w:r w:rsidR="003F5D04">
              <w:rPr>
                <w:sz w:val="20"/>
                <w:szCs w:val="20"/>
              </w:rPr>
              <w:t>kBTUh</w:t>
            </w:r>
            <w:proofErr w:type="spellEnd"/>
            <w:r w:rsidR="003F5D04">
              <w:rPr>
                <w:sz w:val="20"/>
                <w:szCs w:val="20"/>
              </w:rPr>
              <w:t>)</w:t>
            </w:r>
          </w:p>
          <w:tbl>
            <w:tblPr>
              <w:tblW w:w="4955" w:type="dxa"/>
              <w:jc w:val="center"/>
              <w:tblLook w:val="00A0" w:firstRow="1" w:lastRow="0" w:firstColumn="1" w:lastColumn="0" w:noHBand="0" w:noVBand="0"/>
            </w:tblPr>
            <w:tblGrid>
              <w:gridCol w:w="2435"/>
              <w:gridCol w:w="2520"/>
            </w:tblGrid>
            <w:tr w:rsidR="00BF20C6" w:rsidRPr="0077159C" w14:paraId="0F49E0FB" w14:textId="77777777" w:rsidTr="002766B5">
              <w:trPr>
                <w:trHeight w:val="300"/>
                <w:jc w:val="center"/>
              </w:trPr>
              <w:tc>
                <w:tcPr>
                  <w:tcW w:w="4955" w:type="dxa"/>
                  <w:gridSpan w:val="2"/>
                  <w:tcBorders>
                    <w:top w:val="single" w:sz="4" w:space="0" w:color="auto"/>
                    <w:left w:val="single" w:sz="4" w:space="0" w:color="auto"/>
                    <w:bottom w:val="single" w:sz="4" w:space="0" w:color="auto"/>
                    <w:right w:val="single" w:sz="4" w:space="0" w:color="auto"/>
                  </w:tcBorders>
                  <w:noWrap/>
                  <w:vAlign w:val="bottom"/>
                </w:tcPr>
                <w:p w14:paraId="7F94ECB5" w14:textId="10FFCE93" w:rsidR="00BF20C6" w:rsidRPr="00F52214" w:rsidRDefault="00612CDA" w:rsidP="00BF20C6">
                  <w:pPr>
                    <w:keepNext/>
                    <w:rPr>
                      <w:color w:val="000000"/>
                    </w:rPr>
                  </w:pPr>
                  <w:r>
                    <w:rPr>
                      <w:color w:val="000000"/>
                    </w:rPr>
                    <w:t xml:space="preserve">(All Measures) </w:t>
                  </w:r>
                  <w:r w:rsidR="00BF20C6">
                    <w:rPr>
                      <w:color w:val="000000"/>
                    </w:rPr>
                    <w:t>Base case cost ($/</w:t>
                  </w:r>
                  <w:proofErr w:type="spellStart"/>
                  <w:r w:rsidR="00BF20C6">
                    <w:rPr>
                      <w:color w:val="000000"/>
                    </w:rPr>
                    <w:t>k</w:t>
                  </w:r>
                  <w:r w:rsidR="00BF20C6" w:rsidRPr="00F52214">
                    <w:rPr>
                      <w:color w:val="000000"/>
                    </w:rPr>
                    <w:t>B</w:t>
                  </w:r>
                  <w:r w:rsidR="00D92542">
                    <w:rPr>
                      <w:color w:val="000000"/>
                    </w:rPr>
                    <w:t>TU</w:t>
                  </w:r>
                  <w:r w:rsidR="00BF20C6" w:rsidRPr="00F52214">
                    <w:rPr>
                      <w:color w:val="000000"/>
                    </w:rPr>
                    <w:t>h</w:t>
                  </w:r>
                  <w:proofErr w:type="spellEnd"/>
                  <w:r w:rsidR="00BF20C6" w:rsidRPr="00F52214">
                    <w:rPr>
                      <w:color w:val="000000"/>
                    </w:rPr>
                    <w:t>)</w:t>
                  </w:r>
                </w:p>
              </w:tc>
            </w:tr>
            <w:tr w:rsidR="00BF20C6" w:rsidRPr="0077159C" w14:paraId="56EAC0C0" w14:textId="77777777" w:rsidTr="002766B5">
              <w:trPr>
                <w:trHeight w:val="315"/>
                <w:jc w:val="center"/>
              </w:trPr>
              <w:tc>
                <w:tcPr>
                  <w:tcW w:w="2435" w:type="dxa"/>
                  <w:tcBorders>
                    <w:top w:val="single" w:sz="4" w:space="0" w:color="auto"/>
                    <w:left w:val="single" w:sz="8" w:space="0" w:color="auto"/>
                    <w:bottom w:val="single" w:sz="8" w:space="0" w:color="auto"/>
                    <w:right w:val="single" w:sz="4" w:space="0" w:color="auto"/>
                  </w:tcBorders>
                  <w:noWrap/>
                  <w:vAlign w:val="bottom"/>
                </w:tcPr>
                <w:p w14:paraId="2048AF2A" w14:textId="77777777" w:rsidR="00BF20C6" w:rsidRPr="00F52214" w:rsidRDefault="00BF20C6" w:rsidP="00BF20C6">
                  <w:pPr>
                    <w:keepNext/>
                    <w:jc w:val="right"/>
                    <w:rPr>
                      <w:color w:val="000000"/>
                    </w:rPr>
                  </w:pPr>
                  <w:r w:rsidRPr="00F52214">
                    <w:rPr>
                      <w:color w:val="000000"/>
                    </w:rPr>
                    <w:t>80%</w:t>
                  </w:r>
                </w:p>
              </w:tc>
              <w:tc>
                <w:tcPr>
                  <w:tcW w:w="2520" w:type="dxa"/>
                  <w:tcBorders>
                    <w:top w:val="single" w:sz="4" w:space="0" w:color="auto"/>
                    <w:left w:val="nil"/>
                    <w:bottom w:val="single" w:sz="8" w:space="0" w:color="auto"/>
                    <w:right w:val="single" w:sz="8" w:space="0" w:color="auto"/>
                  </w:tcBorders>
                  <w:noWrap/>
                  <w:vAlign w:val="bottom"/>
                </w:tcPr>
                <w:p w14:paraId="1F7497A8" w14:textId="77777777" w:rsidR="00BF20C6" w:rsidRPr="00F52214" w:rsidRDefault="00BF20C6" w:rsidP="00BF20C6">
                  <w:pPr>
                    <w:keepNext/>
                    <w:jc w:val="right"/>
                    <w:rPr>
                      <w:color w:val="000000"/>
                    </w:rPr>
                  </w:pPr>
                  <w:r w:rsidRPr="00F52214">
                    <w:rPr>
                      <w:color w:val="000000"/>
                    </w:rPr>
                    <w:t>$</w:t>
                  </w:r>
                  <w:r>
                    <w:rPr>
                      <w:color w:val="000000"/>
                    </w:rPr>
                    <w:t>12.00</w:t>
                  </w:r>
                </w:p>
              </w:tc>
            </w:tr>
            <w:tr w:rsidR="00D92542" w:rsidRPr="0077159C" w14:paraId="519BCC95" w14:textId="77777777" w:rsidTr="0020474B">
              <w:trPr>
                <w:trHeight w:val="315"/>
                <w:jc w:val="center"/>
              </w:trPr>
              <w:tc>
                <w:tcPr>
                  <w:tcW w:w="4955" w:type="dxa"/>
                  <w:gridSpan w:val="2"/>
                  <w:tcBorders>
                    <w:top w:val="single" w:sz="4" w:space="0" w:color="auto"/>
                    <w:left w:val="single" w:sz="8" w:space="0" w:color="auto"/>
                    <w:bottom w:val="single" w:sz="8" w:space="0" w:color="auto"/>
                    <w:right w:val="single" w:sz="8" w:space="0" w:color="auto"/>
                  </w:tcBorders>
                  <w:noWrap/>
                  <w:vAlign w:val="bottom"/>
                </w:tcPr>
                <w:p w14:paraId="24B1BC91" w14:textId="0EE21304" w:rsidR="00D92542" w:rsidRPr="00F52214" w:rsidRDefault="00D92542" w:rsidP="00D92542">
                  <w:pPr>
                    <w:keepNext/>
                    <w:rPr>
                      <w:color w:val="000000"/>
                    </w:rPr>
                  </w:pPr>
                  <w:r>
                    <w:rPr>
                      <w:color w:val="000000"/>
                    </w:rPr>
                    <w:t>Measure Cost ($/</w:t>
                  </w:r>
                  <w:proofErr w:type="spellStart"/>
                  <w:r>
                    <w:rPr>
                      <w:color w:val="000000"/>
                    </w:rPr>
                    <w:t>kBTUh</w:t>
                  </w:r>
                  <w:proofErr w:type="spellEnd"/>
                  <w:r>
                    <w:rPr>
                      <w:color w:val="000000"/>
                    </w:rPr>
                    <w:t>)</w:t>
                  </w:r>
                </w:p>
              </w:tc>
            </w:tr>
            <w:tr w:rsidR="00BF20C6" w:rsidRPr="0077159C" w14:paraId="76446354" w14:textId="77777777" w:rsidTr="002766B5">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14:paraId="06F172D9" w14:textId="44568242" w:rsidR="00BF20C6" w:rsidRPr="00F52214" w:rsidRDefault="001D0BEA" w:rsidP="00BF20C6">
                  <w:pPr>
                    <w:keepNext/>
                    <w:jc w:val="right"/>
                    <w:rPr>
                      <w:color w:val="000000"/>
                    </w:rPr>
                  </w:pPr>
                  <w:r>
                    <w:rPr>
                      <w:color w:val="000000"/>
                    </w:rPr>
                    <w:t>(Measure 1</w:t>
                  </w:r>
                  <w:r w:rsidR="00440A70">
                    <w:rPr>
                      <w:color w:val="000000"/>
                    </w:rPr>
                    <w:t xml:space="preserve">) </w:t>
                  </w:r>
                  <w:r w:rsidR="00BF20C6">
                    <w:rPr>
                      <w:color w:val="000000"/>
                    </w:rPr>
                    <w:t>92%</w:t>
                  </w:r>
                </w:p>
              </w:tc>
              <w:tc>
                <w:tcPr>
                  <w:tcW w:w="2520" w:type="dxa"/>
                  <w:tcBorders>
                    <w:top w:val="single" w:sz="8" w:space="0" w:color="auto"/>
                    <w:left w:val="nil"/>
                    <w:bottom w:val="single" w:sz="8" w:space="0" w:color="auto"/>
                    <w:right w:val="single" w:sz="8" w:space="0" w:color="auto"/>
                  </w:tcBorders>
                  <w:noWrap/>
                  <w:vAlign w:val="bottom"/>
                </w:tcPr>
                <w:p w14:paraId="77CFB44A" w14:textId="77777777" w:rsidR="00BF20C6" w:rsidRPr="00061371" w:rsidRDefault="00BF20C6" w:rsidP="00BF20C6">
                  <w:pPr>
                    <w:jc w:val="right"/>
                  </w:pPr>
                  <w:r w:rsidRPr="00061371">
                    <w:t>$14.06</w:t>
                  </w:r>
                </w:p>
              </w:tc>
            </w:tr>
            <w:tr w:rsidR="00BF20C6" w:rsidRPr="0077159C" w14:paraId="67DF3667" w14:textId="77777777" w:rsidTr="002766B5">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14:paraId="38A395D0" w14:textId="22C7828C" w:rsidR="00BF20C6" w:rsidRPr="00F52214" w:rsidRDefault="001D0BEA" w:rsidP="00BF20C6">
                  <w:pPr>
                    <w:keepNext/>
                    <w:jc w:val="right"/>
                    <w:rPr>
                      <w:color w:val="000000"/>
                    </w:rPr>
                  </w:pPr>
                  <w:r>
                    <w:rPr>
                      <w:color w:val="000000"/>
                    </w:rPr>
                    <w:t>(Measure 2</w:t>
                  </w:r>
                  <w:r w:rsidR="00440A70">
                    <w:rPr>
                      <w:color w:val="000000"/>
                    </w:rPr>
                    <w:t xml:space="preserve">) </w:t>
                  </w:r>
                  <w:r w:rsidR="00BF20C6" w:rsidRPr="00F52214">
                    <w:rPr>
                      <w:color w:val="000000"/>
                    </w:rPr>
                    <w:t>95%</w:t>
                  </w:r>
                </w:p>
              </w:tc>
              <w:tc>
                <w:tcPr>
                  <w:tcW w:w="2520" w:type="dxa"/>
                  <w:tcBorders>
                    <w:top w:val="single" w:sz="8" w:space="0" w:color="auto"/>
                    <w:left w:val="nil"/>
                    <w:bottom w:val="single" w:sz="8" w:space="0" w:color="auto"/>
                    <w:right w:val="single" w:sz="8" w:space="0" w:color="auto"/>
                  </w:tcBorders>
                  <w:noWrap/>
                  <w:vAlign w:val="bottom"/>
                </w:tcPr>
                <w:p w14:paraId="76B70F9F" w14:textId="77777777" w:rsidR="00BF20C6" w:rsidRPr="00061371" w:rsidRDefault="00BF20C6" w:rsidP="00BF20C6">
                  <w:pPr>
                    <w:jc w:val="right"/>
                  </w:pPr>
                  <w:r w:rsidRPr="00061371">
                    <w:t>$18.91</w:t>
                  </w:r>
                </w:p>
              </w:tc>
            </w:tr>
            <w:tr w:rsidR="00BF20C6" w:rsidRPr="0077159C" w14:paraId="623B2D8B" w14:textId="77777777" w:rsidTr="002766B5">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14:paraId="79370021" w14:textId="40E4F785" w:rsidR="00BF20C6" w:rsidRPr="00F52214" w:rsidRDefault="001D0BEA" w:rsidP="00BF20C6">
                  <w:pPr>
                    <w:keepNext/>
                    <w:jc w:val="right"/>
                    <w:rPr>
                      <w:color w:val="000000"/>
                    </w:rPr>
                  </w:pPr>
                  <w:r>
                    <w:rPr>
                      <w:color w:val="000000"/>
                    </w:rPr>
                    <w:t>(Measure 3</w:t>
                  </w:r>
                  <w:r w:rsidR="00440A70">
                    <w:rPr>
                      <w:color w:val="000000"/>
                    </w:rPr>
                    <w:t xml:space="preserve">) </w:t>
                  </w:r>
                  <w:r w:rsidR="00BF20C6">
                    <w:rPr>
                      <w:color w:val="000000"/>
                    </w:rPr>
                    <w:t>96%</w:t>
                  </w:r>
                </w:p>
              </w:tc>
              <w:tc>
                <w:tcPr>
                  <w:tcW w:w="2520" w:type="dxa"/>
                  <w:tcBorders>
                    <w:top w:val="single" w:sz="8" w:space="0" w:color="auto"/>
                    <w:left w:val="nil"/>
                    <w:bottom w:val="single" w:sz="8" w:space="0" w:color="auto"/>
                    <w:right w:val="single" w:sz="8" w:space="0" w:color="auto"/>
                  </w:tcBorders>
                  <w:noWrap/>
                  <w:vAlign w:val="bottom"/>
                </w:tcPr>
                <w:p w14:paraId="4E0CF5B6" w14:textId="77777777" w:rsidR="00BF20C6" w:rsidRPr="00061371" w:rsidRDefault="00BF20C6" w:rsidP="00BF20C6">
                  <w:pPr>
                    <w:jc w:val="right"/>
                  </w:pPr>
                  <w:r w:rsidRPr="00061371">
                    <w:t>$23.88</w:t>
                  </w:r>
                </w:p>
              </w:tc>
            </w:tr>
            <w:tr w:rsidR="00BF20C6" w:rsidRPr="0077159C" w14:paraId="4317EA73" w14:textId="77777777" w:rsidTr="002766B5">
              <w:trPr>
                <w:trHeight w:val="315"/>
                <w:jc w:val="center"/>
              </w:trPr>
              <w:tc>
                <w:tcPr>
                  <w:tcW w:w="2435" w:type="dxa"/>
                  <w:tcBorders>
                    <w:top w:val="single" w:sz="8" w:space="0" w:color="auto"/>
                    <w:left w:val="single" w:sz="8" w:space="0" w:color="auto"/>
                    <w:bottom w:val="single" w:sz="8" w:space="0" w:color="auto"/>
                    <w:right w:val="single" w:sz="4" w:space="0" w:color="auto"/>
                  </w:tcBorders>
                  <w:noWrap/>
                  <w:vAlign w:val="bottom"/>
                </w:tcPr>
                <w:p w14:paraId="134F12F4" w14:textId="4D553F66" w:rsidR="00BF20C6" w:rsidRPr="00F52214" w:rsidRDefault="001D0BEA" w:rsidP="00BF20C6">
                  <w:pPr>
                    <w:keepNext/>
                    <w:jc w:val="right"/>
                    <w:rPr>
                      <w:color w:val="000000"/>
                    </w:rPr>
                  </w:pPr>
                  <w:r>
                    <w:rPr>
                      <w:color w:val="000000"/>
                    </w:rPr>
                    <w:t>(Measure 4</w:t>
                  </w:r>
                  <w:r w:rsidR="00440A70">
                    <w:rPr>
                      <w:color w:val="000000"/>
                    </w:rPr>
                    <w:t xml:space="preserve">) </w:t>
                  </w:r>
                  <w:r w:rsidR="00BF20C6" w:rsidRPr="00F52214">
                    <w:rPr>
                      <w:color w:val="000000"/>
                    </w:rPr>
                    <w:t>9</w:t>
                  </w:r>
                  <w:r w:rsidR="00BF20C6">
                    <w:rPr>
                      <w:color w:val="000000"/>
                    </w:rPr>
                    <w:t>7</w:t>
                  </w:r>
                  <w:r w:rsidR="00BF20C6" w:rsidRPr="00F52214">
                    <w:rPr>
                      <w:color w:val="000000"/>
                    </w:rPr>
                    <w:t>%</w:t>
                  </w:r>
                </w:p>
              </w:tc>
              <w:tc>
                <w:tcPr>
                  <w:tcW w:w="2520" w:type="dxa"/>
                  <w:tcBorders>
                    <w:top w:val="single" w:sz="8" w:space="0" w:color="auto"/>
                    <w:left w:val="nil"/>
                    <w:bottom w:val="single" w:sz="8" w:space="0" w:color="auto"/>
                    <w:right w:val="single" w:sz="8" w:space="0" w:color="auto"/>
                  </w:tcBorders>
                  <w:noWrap/>
                  <w:vAlign w:val="bottom"/>
                </w:tcPr>
                <w:p w14:paraId="5B96CBDE" w14:textId="77777777" w:rsidR="00BF20C6" w:rsidRDefault="00BF20C6" w:rsidP="00BF20C6">
                  <w:pPr>
                    <w:jc w:val="right"/>
                  </w:pPr>
                  <w:r w:rsidRPr="00061371">
                    <w:t>$30.51</w:t>
                  </w:r>
                </w:p>
              </w:tc>
            </w:tr>
            <w:tr w:rsidR="00BF20C6" w:rsidRPr="0077159C" w14:paraId="58EF4C1A" w14:textId="77777777" w:rsidTr="002766B5">
              <w:trPr>
                <w:trHeight w:val="340"/>
                <w:jc w:val="center"/>
              </w:trPr>
              <w:tc>
                <w:tcPr>
                  <w:tcW w:w="4955" w:type="dxa"/>
                  <w:gridSpan w:val="2"/>
                  <w:tcBorders>
                    <w:top w:val="nil"/>
                    <w:left w:val="single" w:sz="4" w:space="0" w:color="auto"/>
                    <w:bottom w:val="single" w:sz="4" w:space="0" w:color="auto"/>
                    <w:right w:val="single" w:sz="4" w:space="0" w:color="auto"/>
                  </w:tcBorders>
                  <w:noWrap/>
                  <w:vAlign w:val="bottom"/>
                </w:tcPr>
                <w:p w14:paraId="078A1FB6" w14:textId="5B3FEBB5" w:rsidR="00BF20C6" w:rsidRPr="00F52214" w:rsidRDefault="00612CDA" w:rsidP="00BF20C6">
                  <w:pPr>
                    <w:keepNext/>
                    <w:rPr>
                      <w:color w:val="000000"/>
                    </w:rPr>
                  </w:pPr>
                  <w:r>
                    <w:rPr>
                      <w:color w:val="000000"/>
                    </w:rPr>
                    <w:t xml:space="preserve">(All Measures) </w:t>
                  </w:r>
                  <w:r w:rsidR="00BF20C6">
                    <w:rPr>
                      <w:color w:val="000000"/>
                    </w:rPr>
                    <w:t>Labor Cost ($/</w:t>
                  </w:r>
                  <w:proofErr w:type="spellStart"/>
                  <w:r w:rsidR="00BF20C6">
                    <w:rPr>
                      <w:color w:val="000000"/>
                    </w:rPr>
                    <w:t>k</w:t>
                  </w:r>
                  <w:r w:rsidR="00BF20C6" w:rsidRPr="00F52214">
                    <w:rPr>
                      <w:color w:val="000000"/>
                    </w:rPr>
                    <w:t>Btuh</w:t>
                  </w:r>
                  <w:proofErr w:type="spellEnd"/>
                  <w:r w:rsidR="00BF20C6" w:rsidRPr="00F52214">
                    <w:rPr>
                      <w:color w:val="000000"/>
                    </w:rPr>
                    <w:t>)</w:t>
                  </w:r>
                </w:p>
              </w:tc>
            </w:tr>
            <w:tr w:rsidR="00BF20C6" w:rsidRPr="0077159C" w14:paraId="362D048B" w14:textId="77777777" w:rsidTr="002766B5">
              <w:trPr>
                <w:trHeight w:val="315"/>
                <w:jc w:val="center"/>
              </w:trPr>
              <w:tc>
                <w:tcPr>
                  <w:tcW w:w="2435" w:type="dxa"/>
                  <w:tcBorders>
                    <w:top w:val="nil"/>
                    <w:left w:val="single" w:sz="4" w:space="0" w:color="auto"/>
                    <w:bottom w:val="single" w:sz="4" w:space="0" w:color="auto"/>
                    <w:right w:val="nil"/>
                  </w:tcBorders>
                  <w:noWrap/>
                  <w:vAlign w:val="bottom"/>
                </w:tcPr>
                <w:p w14:paraId="6F476A1E" w14:textId="77777777" w:rsidR="00BF20C6" w:rsidRPr="00F52214" w:rsidRDefault="00BF20C6" w:rsidP="00BF20C6">
                  <w:pPr>
                    <w:keepNext/>
                    <w:rPr>
                      <w:color w:val="000000"/>
                    </w:rPr>
                  </w:pPr>
                  <w:r w:rsidRPr="00F52214">
                    <w:rPr>
                      <w:color w:val="000000"/>
                    </w:rPr>
                    <w:t> </w:t>
                  </w:r>
                </w:p>
              </w:tc>
              <w:tc>
                <w:tcPr>
                  <w:tcW w:w="2520" w:type="dxa"/>
                  <w:tcBorders>
                    <w:top w:val="single" w:sz="8" w:space="0" w:color="auto"/>
                    <w:left w:val="single" w:sz="8" w:space="0" w:color="auto"/>
                    <w:bottom w:val="single" w:sz="8" w:space="0" w:color="auto"/>
                    <w:right w:val="single" w:sz="8" w:space="0" w:color="auto"/>
                  </w:tcBorders>
                  <w:noWrap/>
                  <w:vAlign w:val="bottom"/>
                </w:tcPr>
                <w:p w14:paraId="21BEF796" w14:textId="77777777" w:rsidR="00BF20C6" w:rsidRPr="00F52214" w:rsidRDefault="00BF20C6" w:rsidP="00BF20C6">
                  <w:pPr>
                    <w:keepNext/>
                    <w:jc w:val="right"/>
                    <w:rPr>
                      <w:color w:val="000000"/>
                    </w:rPr>
                  </w:pPr>
                  <w:r w:rsidRPr="00F52214">
                    <w:rPr>
                      <w:color w:val="000000"/>
                    </w:rPr>
                    <w:t>$5.84</w:t>
                  </w:r>
                </w:p>
              </w:tc>
            </w:tr>
          </w:tbl>
          <w:p w14:paraId="0D352A34" w14:textId="77777777" w:rsidR="00F36B9B" w:rsidRPr="008109D1" w:rsidRDefault="00F36B9B" w:rsidP="00BF5CB9">
            <w:pPr>
              <w:rPr>
                <w:color w:val="FF0000"/>
                <w:sz w:val="20"/>
                <w:szCs w:val="20"/>
              </w:rPr>
            </w:pPr>
          </w:p>
          <w:p w14:paraId="0CC18C94" w14:textId="3357CE37" w:rsidR="00B14522" w:rsidRPr="008109D1" w:rsidRDefault="00F36B9B" w:rsidP="00BF5CB9">
            <w:pPr>
              <w:rPr>
                <w:i/>
                <w:iCs/>
                <w:sz w:val="20"/>
                <w:szCs w:val="20"/>
              </w:rPr>
            </w:pPr>
            <w:r w:rsidRPr="008109D1">
              <w:rPr>
                <w:i/>
                <w:iCs/>
                <w:sz w:val="20"/>
                <w:szCs w:val="20"/>
              </w:rPr>
              <w:t xml:space="preserve">All costs are noted as $ </w:t>
            </w:r>
            <w:r w:rsidR="00BF20C6">
              <w:rPr>
                <w:i/>
                <w:iCs/>
                <w:sz w:val="20"/>
                <w:szCs w:val="20"/>
              </w:rPr>
              <w:t xml:space="preserve">/ </w:t>
            </w:r>
            <w:proofErr w:type="spellStart"/>
            <w:r w:rsidR="00BF20C6">
              <w:rPr>
                <w:i/>
                <w:iCs/>
                <w:sz w:val="20"/>
                <w:szCs w:val="20"/>
              </w:rPr>
              <w:t>kB</w:t>
            </w:r>
            <w:r w:rsidR="0072304A">
              <w:rPr>
                <w:i/>
                <w:iCs/>
                <w:sz w:val="20"/>
                <w:szCs w:val="20"/>
              </w:rPr>
              <w:t>TU</w:t>
            </w:r>
            <w:r w:rsidR="00BF20C6">
              <w:rPr>
                <w:i/>
                <w:iCs/>
                <w:sz w:val="20"/>
                <w:szCs w:val="20"/>
              </w:rPr>
              <w:t>h</w:t>
            </w:r>
            <w:proofErr w:type="spellEnd"/>
          </w:p>
          <w:p w14:paraId="783AC15C" w14:textId="77777777" w:rsidR="00331FC0" w:rsidRPr="00331FC0" w:rsidRDefault="00331FC0" w:rsidP="00BF5CB9">
            <w:pPr>
              <w:rPr>
                <w:i/>
                <w:iCs/>
              </w:rPr>
            </w:pPr>
          </w:p>
        </w:tc>
      </w:tr>
    </w:tbl>
    <w:p w14:paraId="4C301179" w14:textId="77777777" w:rsidR="00A20C34" w:rsidRPr="0059117D" w:rsidRDefault="00A20C34" w:rsidP="00BF20C6"/>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4B0A9" w14:textId="77777777" w:rsidR="003B402B" w:rsidRDefault="003B402B" w:rsidP="00FE520B">
      <w:r>
        <w:separator/>
      </w:r>
    </w:p>
  </w:endnote>
  <w:endnote w:type="continuationSeparator" w:id="0">
    <w:p w14:paraId="3D3FFD33" w14:textId="77777777" w:rsidR="003B402B" w:rsidRDefault="003B402B"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3B60F" w14:textId="1DC61E62" w:rsidR="00B1283D" w:rsidRPr="00241A1F" w:rsidRDefault="00B1283D" w:rsidP="00241A1F">
    <w:pPr>
      <w:pStyle w:val="Footer"/>
      <w:rPr>
        <w:rFonts w:cstheme="minorHAnsi"/>
        <w:b/>
        <w:szCs w:val="22"/>
      </w:rPr>
    </w:pPr>
    <w:r>
      <w:rPr>
        <w:b/>
      </w:rPr>
      <w:t xml:space="preserve">Workpaper </w:t>
    </w:r>
    <w:r w:rsidRPr="008109D1">
      <w:rPr>
        <w:b/>
      </w:rPr>
      <w:t>WPSDGEREHC1063 Rev</w:t>
    </w:r>
    <w:r>
      <w:rPr>
        <w:b/>
      </w:rPr>
      <w:t>ision 0</w:t>
    </w:r>
    <w:r>
      <w:rPr>
        <w:b/>
      </w:rPr>
      <w:tab/>
    </w:r>
    <w:r>
      <w:rPr>
        <w:b/>
      </w:rPr>
      <w:tab/>
      <w:t>December 2</w:t>
    </w:r>
    <w:r w:rsidR="000D3914">
      <w:rPr>
        <w:b/>
      </w:rPr>
      <w:t>7</w:t>
    </w:r>
    <w:r>
      <w:rPr>
        <w:b/>
      </w:rPr>
      <w:t>, 2017</w:t>
    </w:r>
  </w:p>
  <w:p w14:paraId="47AC198B" w14:textId="77777777" w:rsidR="00B1283D" w:rsidRPr="009500DC" w:rsidRDefault="00B1283D"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F41E1" w14:textId="77777777" w:rsidR="003B402B" w:rsidRDefault="003B402B" w:rsidP="00FE520B">
      <w:r>
        <w:separator/>
      </w:r>
    </w:p>
  </w:footnote>
  <w:footnote w:type="continuationSeparator" w:id="0">
    <w:p w14:paraId="7AA06F06" w14:textId="77777777" w:rsidR="003B402B" w:rsidRDefault="003B402B"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5E992" w14:textId="16610D14" w:rsidR="00B1283D" w:rsidRDefault="00B128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C19D9"/>
    <w:multiLevelType w:val="multilevel"/>
    <w:tmpl w:val="F4228734"/>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522"/>
        </w:tabs>
        <w:ind w:left="522" w:hanging="432"/>
      </w:pPr>
      <w:rPr>
        <w:rFonts w:hint="default"/>
      </w:rPr>
    </w:lvl>
    <w:lvl w:ilvl="3">
      <w:start w:val="1"/>
      <w:numFmt w:val="decimal"/>
      <w:pStyle w:val="PR2"/>
      <w:lvlText w:val="%4."/>
      <w:lvlJc w:val="left"/>
      <w:pPr>
        <w:tabs>
          <w:tab w:val="num" w:pos="972"/>
        </w:tabs>
        <w:ind w:left="972"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295AC2"/>
    <w:multiLevelType w:val="hybridMultilevel"/>
    <w:tmpl w:val="07442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0627D"/>
    <w:multiLevelType w:val="hybridMultilevel"/>
    <w:tmpl w:val="6FE657C6"/>
    <w:lvl w:ilvl="0" w:tplc="6DA03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7"/>
  </w:num>
  <w:num w:numId="5">
    <w:abstractNumId w:val="9"/>
  </w:num>
  <w:num w:numId="6">
    <w:abstractNumId w:val="5"/>
  </w:num>
  <w:num w:numId="7">
    <w:abstractNumId w:val="16"/>
  </w:num>
  <w:num w:numId="8">
    <w:abstractNumId w:val="12"/>
  </w:num>
  <w:num w:numId="9">
    <w:abstractNumId w:val="6"/>
  </w:num>
  <w:num w:numId="10">
    <w:abstractNumId w:val="14"/>
  </w:num>
  <w:num w:numId="11">
    <w:abstractNumId w:val="18"/>
  </w:num>
  <w:num w:numId="12">
    <w:abstractNumId w:val="8"/>
  </w:num>
  <w:num w:numId="13">
    <w:abstractNumId w:val="10"/>
  </w:num>
  <w:num w:numId="14">
    <w:abstractNumId w:val="17"/>
  </w:num>
  <w:num w:numId="15">
    <w:abstractNumId w:val="0"/>
  </w:num>
  <w:num w:numId="16">
    <w:abstractNumId w:val="15"/>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2DCC"/>
    <w:rsid w:val="00004D4E"/>
    <w:rsid w:val="00012876"/>
    <w:rsid w:val="00023C32"/>
    <w:rsid w:val="00031BA0"/>
    <w:rsid w:val="000425A3"/>
    <w:rsid w:val="00052743"/>
    <w:rsid w:val="00052CE4"/>
    <w:rsid w:val="00077F57"/>
    <w:rsid w:val="000C014D"/>
    <w:rsid w:val="000C13AE"/>
    <w:rsid w:val="000D3914"/>
    <w:rsid w:val="000E19CA"/>
    <w:rsid w:val="000E5A40"/>
    <w:rsid w:val="000F72EF"/>
    <w:rsid w:val="00103A51"/>
    <w:rsid w:val="00140FF2"/>
    <w:rsid w:val="00160E6B"/>
    <w:rsid w:val="00194466"/>
    <w:rsid w:val="001A13A4"/>
    <w:rsid w:val="001A4875"/>
    <w:rsid w:val="001B1C8A"/>
    <w:rsid w:val="001C3663"/>
    <w:rsid w:val="001D0AB9"/>
    <w:rsid w:val="001D0BEA"/>
    <w:rsid w:val="001D57D7"/>
    <w:rsid w:val="00203631"/>
    <w:rsid w:val="002146D1"/>
    <w:rsid w:val="00215828"/>
    <w:rsid w:val="00222120"/>
    <w:rsid w:val="0023444F"/>
    <w:rsid w:val="00241A1F"/>
    <w:rsid w:val="00291820"/>
    <w:rsid w:val="00291B2B"/>
    <w:rsid w:val="002941E7"/>
    <w:rsid w:val="00297481"/>
    <w:rsid w:val="002D747B"/>
    <w:rsid w:val="002D77CC"/>
    <w:rsid w:val="002E0948"/>
    <w:rsid w:val="002F1C04"/>
    <w:rsid w:val="00305F25"/>
    <w:rsid w:val="00331FC0"/>
    <w:rsid w:val="00334D19"/>
    <w:rsid w:val="00353DCB"/>
    <w:rsid w:val="00354501"/>
    <w:rsid w:val="00360CFA"/>
    <w:rsid w:val="003614B5"/>
    <w:rsid w:val="00364865"/>
    <w:rsid w:val="00365A0D"/>
    <w:rsid w:val="00365A8F"/>
    <w:rsid w:val="00371270"/>
    <w:rsid w:val="00375941"/>
    <w:rsid w:val="003A0D2B"/>
    <w:rsid w:val="003A7B4E"/>
    <w:rsid w:val="003B245D"/>
    <w:rsid w:val="003B402B"/>
    <w:rsid w:val="003B5DCF"/>
    <w:rsid w:val="003C038E"/>
    <w:rsid w:val="003C2EE4"/>
    <w:rsid w:val="003C6175"/>
    <w:rsid w:val="003D1C21"/>
    <w:rsid w:val="003E0DC8"/>
    <w:rsid w:val="003E122A"/>
    <w:rsid w:val="003E3A25"/>
    <w:rsid w:val="003E3C7D"/>
    <w:rsid w:val="003E6E57"/>
    <w:rsid w:val="003E6FA5"/>
    <w:rsid w:val="003E6FD6"/>
    <w:rsid w:val="003F5D04"/>
    <w:rsid w:val="003F6170"/>
    <w:rsid w:val="0040500F"/>
    <w:rsid w:val="00413EF4"/>
    <w:rsid w:val="004252CE"/>
    <w:rsid w:val="00435A01"/>
    <w:rsid w:val="00437CD2"/>
    <w:rsid w:val="00440A70"/>
    <w:rsid w:val="0044253D"/>
    <w:rsid w:val="0044686E"/>
    <w:rsid w:val="00467DB3"/>
    <w:rsid w:val="00484D18"/>
    <w:rsid w:val="004A6215"/>
    <w:rsid w:val="004B4E5C"/>
    <w:rsid w:val="004C35E4"/>
    <w:rsid w:val="004D0326"/>
    <w:rsid w:val="004D5D19"/>
    <w:rsid w:val="004F2CE5"/>
    <w:rsid w:val="004F68D6"/>
    <w:rsid w:val="00516302"/>
    <w:rsid w:val="005428E1"/>
    <w:rsid w:val="005519B0"/>
    <w:rsid w:val="005545ED"/>
    <w:rsid w:val="00570DA4"/>
    <w:rsid w:val="0059117D"/>
    <w:rsid w:val="0059742B"/>
    <w:rsid w:val="005A1665"/>
    <w:rsid w:val="005B5614"/>
    <w:rsid w:val="005B70D8"/>
    <w:rsid w:val="005E1B4B"/>
    <w:rsid w:val="00604605"/>
    <w:rsid w:val="00612CDA"/>
    <w:rsid w:val="00620EB1"/>
    <w:rsid w:val="00636490"/>
    <w:rsid w:val="00650C31"/>
    <w:rsid w:val="00652EC2"/>
    <w:rsid w:val="00654231"/>
    <w:rsid w:val="00664ABA"/>
    <w:rsid w:val="00665B9C"/>
    <w:rsid w:val="00667E6F"/>
    <w:rsid w:val="00675142"/>
    <w:rsid w:val="00677631"/>
    <w:rsid w:val="00684ABA"/>
    <w:rsid w:val="006B0D5C"/>
    <w:rsid w:val="006D0290"/>
    <w:rsid w:val="006D54BA"/>
    <w:rsid w:val="00701D23"/>
    <w:rsid w:val="0071367D"/>
    <w:rsid w:val="00721483"/>
    <w:rsid w:val="0072304A"/>
    <w:rsid w:val="00724D40"/>
    <w:rsid w:val="00727839"/>
    <w:rsid w:val="00785AC8"/>
    <w:rsid w:val="00787D7C"/>
    <w:rsid w:val="00792928"/>
    <w:rsid w:val="00792DBA"/>
    <w:rsid w:val="00793592"/>
    <w:rsid w:val="00797B54"/>
    <w:rsid w:val="007A2EB3"/>
    <w:rsid w:val="007A4C4B"/>
    <w:rsid w:val="007B314A"/>
    <w:rsid w:val="007B623E"/>
    <w:rsid w:val="007D1F1E"/>
    <w:rsid w:val="007D3432"/>
    <w:rsid w:val="007D3A21"/>
    <w:rsid w:val="007D3D34"/>
    <w:rsid w:val="00810743"/>
    <w:rsid w:val="008109D1"/>
    <w:rsid w:val="0081521B"/>
    <w:rsid w:val="008304C2"/>
    <w:rsid w:val="00856FA4"/>
    <w:rsid w:val="00862113"/>
    <w:rsid w:val="00864EC1"/>
    <w:rsid w:val="008724D6"/>
    <w:rsid w:val="008775D7"/>
    <w:rsid w:val="00884B9C"/>
    <w:rsid w:val="00896FA7"/>
    <w:rsid w:val="008A1557"/>
    <w:rsid w:val="008A1D1C"/>
    <w:rsid w:val="008A4224"/>
    <w:rsid w:val="00905C7C"/>
    <w:rsid w:val="00910D54"/>
    <w:rsid w:val="00943CBE"/>
    <w:rsid w:val="00950249"/>
    <w:rsid w:val="00957C01"/>
    <w:rsid w:val="00966770"/>
    <w:rsid w:val="00970CC8"/>
    <w:rsid w:val="0099350E"/>
    <w:rsid w:val="009A6CB4"/>
    <w:rsid w:val="009B54DF"/>
    <w:rsid w:val="009C3F2D"/>
    <w:rsid w:val="009D1DFD"/>
    <w:rsid w:val="009D47FC"/>
    <w:rsid w:val="00A051D9"/>
    <w:rsid w:val="00A11E59"/>
    <w:rsid w:val="00A20C34"/>
    <w:rsid w:val="00A6097F"/>
    <w:rsid w:val="00A61271"/>
    <w:rsid w:val="00A64BA3"/>
    <w:rsid w:val="00A74C91"/>
    <w:rsid w:val="00A751F6"/>
    <w:rsid w:val="00A75EDC"/>
    <w:rsid w:val="00AB27EA"/>
    <w:rsid w:val="00AD0B65"/>
    <w:rsid w:val="00B1283D"/>
    <w:rsid w:val="00B133D9"/>
    <w:rsid w:val="00B14522"/>
    <w:rsid w:val="00B33D20"/>
    <w:rsid w:val="00B37CDB"/>
    <w:rsid w:val="00B42D64"/>
    <w:rsid w:val="00B46CC8"/>
    <w:rsid w:val="00B47B58"/>
    <w:rsid w:val="00B57F32"/>
    <w:rsid w:val="00B61FCD"/>
    <w:rsid w:val="00B75260"/>
    <w:rsid w:val="00B76080"/>
    <w:rsid w:val="00B91BFF"/>
    <w:rsid w:val="00B9228A"/>
    <w:rsid w:val="00B9234D"/>
    <w:rsid w:val="00BC4DD2"/>
    <w:rsid w:val="00BD0DF3"/>
    <w:rsid w:val="00BF20C6"/>
    <w:rsid w:val="00BF4FF9"/>
    <w:rsid w:val="00BF5CB9"/>
    <w:rsid w:val="00C048F4"/>
    <w:rsid w:val="00C06B9E"/>
    <w:rsid w:val="00C15F66"/>
    <w:rsid w:val="00C179D8"/>
    <w:rsid w:val="00C31097"/>
    <w:rsid w:val="00C32FF9"/>
    <w:rsid w:val="00C414A6"/>
    <w:rsid w:val="00C44300"/>
    <w:rsid w:val="00C44E5A"/>
    <w:rsid w:val="00C54AC6"/>
    <w:rsid w:val="00CA4F72"/>
    <w:rsid w:val="00CB56F3"/>
    <w:rsid w:val="00CC73AE"/>
    <w:rsid w:val="00CE4153"/>
    <w:rsid w:val="00CF2ABA"/>
    <w:rsid w:val="00D319A5"/>
    <w:rsid w:val="00D60240"/>
    <w:rsid w:val="00D73723"/>
    <w:rsid w:val="00D756BA"/>
    <w:rsid w:val="00D779E6"/>
    <w:rsid w:val="00D92542"/>
    <w:rsid w:val="00DB62A9"/>
    <w:rsid w:val="00DB71F1"/>
    <w:rsid w:val="00DC4E59"/>
    <w:rsid w:val="00DC7243"/>
    <w:rsid w:val="00DE1C5D"/>
    <w:rsid w:val="00DF0107"/>
    <w:rsid w:val="00E048EA"/>
    <w:rsid w:val="00E165FC"/>
    <w:rsid w:val="00E33CA3"/>
    <w:rsid w:val="00E372B8"/>
    <w:rsid w:val="00E55946"/>
    <w:rsid w:val="00E56CE7"/>
    <w:rsid w:val="00E60781"/>
    <w:rsid w:val="00E6385A"/>
    <w:rsid w:val="00E6631C"/>
    <w:rsid w:val="00E733C7"/>
    <w:rsid w:val="00E75729"/>
    <w:rsid w:val="00E84938"/>
    <w:rsid w:val="00EA3A8D"/>
    <w:rsid w:val="00EB5CE7"/>
    <w:rsid w:val="00EC3B31"/>
    <w:rsid w:val="00EC4693"/>
    <w:rsid w:val="00EC6CB8"/>
    <w:rsid w:val="00ED03F6"/>
    <w:rsid w:val="00ED3B34"/>
    <w:rsid w:val="00EE38DA"/>
    <w:rsid w:val="00EE4484"/>
    <w:rsid w:val="00EE6CFE"/>
    <w:rsid w:val="00EF2711"/>
    <w:rsid w:val="00F01745"/>
    <w:rsid w:val="00F117C6"/>
    <w:rsid w:val="00F13F45"/>
    <w:rsid w:val="00F31D17"/>
    <w:rsid w:val="00F36685"/>
    <w:rsid w:val="00F36B9B"/>
    <w:rsid w:val="00F40005"/>
    <w:rsid w:val="00F72E1B"/>
    <w:rsid w:val="00F77C08"/>
    <w:rsid w:val="00F806C8"/>
    <w:rsid w:val="00F855DD"/>
    <w:rsid w:val="00FD00E5"/>
    <w:rsid w:val="00FD0494"/>
    <w:rsid w:val="00FD7937"/>
    <w:rsid w:val="00FE520B"/>
    <w:rsid w:val="00FF2941"/>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E3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uiPriority w:val="99"/>
    <w:qFormat/>
    <w:rsid w:val="00F117C6"/>
    <w:rPr>
      <w:b/>
      <w:bCs/>
      <w:szCs w:val="3276"/>
    </w:rPr>
  </w:style>
  <w:style w:type="character" w:customStyle="1" w:styleId="CaptionChar">
    <w:name w:val="Caption Char"/>
    <w:basedOn w:val="DefaultParagraphFont"/>
    <w:link w:val="Caption"/>
    <w:uiPriority w:val="99"/>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paragraph" w:customStyle="1" w:styleId="ART">
    <w:name w:val="ART"/>
    <w:basedOn w:val="Normal"/>
    <w:next w:val="PR1"/>
    <w:rsid w:val="00F806C8"/>
    <w:pPr>
      <w:numPr>
        <w:ilvl w:val="1"/>
        <w:numId w:val="17"/>
      </w:numPr>
      <w:suppressAutoHyphens/>
      <w:spacing w:before="240"/>
      <w:outlineLvl w:val="1"/>
    </w:pPr>
    <w:rPr>
      <w:rFonts w:ascii="Arial" w:eastAsia="Batang" w:hAnsi="Arial"/>
      <w:b/>
      <w:caps/>
      <w:sz w:val="20"/>
      <w:szCs w:val="20"/>
    </w:rPr>
  </w:style>
  <w:style w:type="paragraph" w:customStyle="1" w:styleId="PR1">
    <w:name w:val="PR1"/>
    <w:basedOn w:val="ART"/>
    <w:rsid w:val="00F806C8"/>
    <w:pPr>
      <w:numPr>
        <w:ilvl w:val="2"/>
      </w:numPr>
      <w:outlineLvl w:val="2"/>
    </w:pPr>
    <w:rPr>
      <w:b w:val="0"/>
      <w:caps w:val="0"/>
    </w:rPr>
  </w:style>
  <w:style w:type="paragraph" w:customStyle="1" w:styleId="PR2">
    <w:name w:val="PR2"/>
    <w:basedOn w:val="PR1"/>
    <w:rsid w:val="00F806C8"/>
    <w:pPr>
      <w:numPr>
        <w:ilvl w:val="3"/>
      </w:numPr>
      <w:spacing w:before="0"/>
      <w:outlineLvl w:val="3"/>
    </w:pPr>
  </w:style>
  <w:style w:type="paragraph" w:customStyle="1" w:styleId="PR3">
    <w:name w:val="PR3"/>
    <w:basedOn w:val="PR1"/>
    <w:rsid w:val="00F806C8"/>
    <w:pPr>
      <w:numPr>
        <w:ilvl w:val="4"/>
      </w:numPr>
      <w:spacing w:before="0"/>
      <w:outlineLvl w:val="4"/>
    </w:pPr>
  </w:style>
  <w:style w:type="paragraph" w:customStyle="1" w:styleId="PR4">
    <w:name w:val="PR4"/>
    <w:basedOn w:val="PR1"/>
    <w:rsid w:val="00F806C8"/>
    <w:pPr>
      <w:numPr>
        <w:ilvl w:val="5"/>
      </w:numPr>
      <w:tabs>
        <w:tab w:val="left" w:pos="2448"/>
      </w:tabs>
      <w:spacing w:before="0"/>
      <w:outlineLvl w:val="5"/>
    </w:pPr>
  </w:style>
  <w:style w:type="paragraph" w:customStyle="1" w:styleId="PR5">
    <w:name w:val="PR5"/>
    <w:basedOn w:val="PR1"/>
    <w:rsid w:val="00F806C8"/>
    <w:pPr>
      <w:numPr>
        <w:ilvl w:val="6"/>
      </w:numPr>
      <w:spacing w:before="0"/>
      <w:outlineLvl w:val="6"/>
    </w:pPr>
  </w:style>
  <w:style w:type="paragraph" w:customStyle="1" w:styleId="PR6">
    <w:name w:val="PR6"/>
    <w:basedOn w:val="PR1"/>
    <w:rsid w:val="00F806C8"/>
    <w:pPr>
      <w:numPr>
        <w:ilvl w:val="7"/>
      </w:numPr>
      <w:tabs>
        <w:tab w:val="left" w:pos="3744"/>
      </w:tabs>
      <w:spacing w:before="0"/>
      <w:outlineLvl w:val="7"/>
    </w:pPr>
  </w:style>
  <w:style w:type="paragraph" w:customStyle="1" w:styleId="PR7">
    <w:name w:val="PR7"/>
    <w:basedOn w:val="PR6"/>
    <w:rsid w:val="00F806C8"/>
    <w:pPr>
      <w:numPr>
        <w:ilvl w:val="8"/>
      </w:numPr>
      <w:tabs>
        <w:tab w:val="left" w:pos="4464"/>
      </w:tabs>
    </w:pPr>
  </w:style>
  <w:style w:type="paragraph" w:customStyle="1" w:styleId="WPSCT">
    <w:name w:val="WPSCT"/>
    <w:basedOn w:val="Normal"/>
    <w:next w:val="ART"/>
    <w:qFormat/>
    <w:rsid w:val="00F806C8"/>
    <w:pPr>
      <w:numPr>
        <w:numId w:val="17"/>
      </w:numPr>
      <w:suppressAutoHyphens/>
      <w:spacing w:before="240"/>
      <w:outlineLvl w:val="0"/>
    </w:pPr>
    <w:rPr>
      <w:rFonts w:ascii="Arial" w:eastAsia="Batang" w:hAnsi="Arial"/>
      <w:b/>
      <w:caps/>
      <w:sz w:val="20"/>
      <w:szCs w:val="20"/>
    </w:rPr>
  </w:style>
  <w:style w:type="paragraph" w:styleId="NoSpacing">
    <w:name w:val="No Spacing"/>
    <w:uiPriority w:val="1"/>
    <w:qFormat/>
    <w:rsid w:val="002D77CC"/>
    <w:pPr>
      <w:spacing w:after="0" w:line="240" w:lineRule="auto"/>
    </w:pPr>
    <w:rPr>
      <w:rFonts w:ascii="Arial" w:eastAsia="Batang" w:hAnsi="Arial" w:cs="Times New Roman"/>
      <w:sz w:val="20"/>
      <w:szCs w:val="20"/>
    </w:rPr>
  </w:style>
  <w:style w:type="paragraph" w:customStyle="1" w:styleId="Appx">
    <w:name w:val="Appx"/>
    <w:basedOn w:val="Heading1"/>
    <w:rsid w:val="00721483"/>
    <w:pPr>
      <w:spacing w:after="60"/>
    </w:pPr>
    <w:rPr>
      <w:rFonts w:ascii="Arial" w:eastAsia="Batang" w:hAnsi="Arial"/>
      <w:smallCaps w:val="0"/>
      <w:sz w:val="32"/>
    </w:rPr>
  </w:style>
  <w:style w:type="paragraph" w:customStyle="1" w:styleId="TBL">
    <w:name w:val="TBL"/>
    <w:rsid w:val="00721483"/>
    <w:pPr>
      <w:spacing w:before="120" w:after="120" w:line="240" w:lineRule="auto"/>
      <w:jc w:val="center"/>
    </w:pPr>
    <w:rPr>
      <w:rFonts w:ascii="Arial" w:eastAsia="Batang" w:hAnsi="Arial" w:cs="Times New Roman"/>
      <w:b/>
      <w:sz w:val="20"/>
      <w:szCs w:val="20"/>
    </w:rPr>
  </w:style>
  <w:style w:type="paragraph" w:styleId="Revision">
    <w:name w:val="Revision"/>
    <w:hidden/>
    <w:uiPriority w:val="99"/>
    <w:semiHidden/>
    <w:rsid w:val="00B1283D"/>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752915">
      <w:bodyDiv w:val="1"/>
      <w:marLeft w:val="0"/>
      <w:marRight w:val="0"/>
      <w:marTop w:val="0"/>
      <w:marBottom w:val="0"/>
      <w:divBdr>
        <w:top w:val="none" w:sz="0" w:space="0" w:color="auto"/>
        <w:left w:val="none" w:sz="0" w:space="0" w:color="auto"/>
        <w:bottom w:val="none" w:sz="0" w:space="0" w:color="auto"/>
        <w:right w:val="none" w:sz="0" w:space="0" w:color="auto"/>
      </w:divBdr>
    </w:div>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2025A4-7974-4472-AF3A-6817E99C5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2018-01-03T01:09:00Z</dcterms:created>
  <dcterms:modified xsi:type="dcterms:W3CDTF">2018-01-03T02:50:00Z</dcterms:modified>
</cp:coreProperties>
</file>